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4" w:h="1992" w:hRule="exact" w:wrap="around" w:vAnchor="page" w:hAnchor="page" w:x="1400" w:y="4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" w:right="48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ПРОГРАММА КОМПЛЕКСНОГО РАЗВИТИЯ СИСТЕМ КОММУНАЛЬНОЙ ИНФРАСТРУКТУРЫ</w:t>
      </w:r>
      <w:bookmarkEnd w:id="0"/>
    </w:p>
    <w:p>
      <w:pPr>
        <w:pStyle w:val="Style5"/>
        <w:framePr w:w="9134" w:h="2548" w:hRule="exact" w:wrap="around" w:vAnchor="page" w:hAnchor="page" w:x="1400" w:y="7501"/>
        <w:widowControl w:val="0"/>
        <w:keepNext w:val="0"/>
        <w:keepLines w:val="0"/>
        <w:shd w:val="clear" w:color="auto" w:fill="auto"/>
        <w:bidi w:val="0"/>
        <w:spacing w:before="0" w:after="858"/>
        <w:ind w:left="220" w:right="0" w:firstLine="0"/>
      </w:pPr>
      <w:r>
        <w:rPr>
          <w:lang w:val="ru-RU" w:eastAsia="ru-RU" w:bidi="ru-RU"/>
          <w:w w:val="100"/>
          <w:color w:val="000000"/>
          <w:position w:val="0"/>
        </w:rPr>
        <w:t>СЕЛЬСКОГО ПОСЕЛЕНИЯ ТАМБОВСКОЕ ТЕРСКОГО МУНИЦИПАЛЬНОГО РАЙОНА КАБАРДИНО</w:t>
        <w:softHyphen/>
        <w:t>БАЛКАРСКОЙ РЕСПУБЛИКИ</w:t>
      </w:r>
    </w:p>
    <w:p>
      <w:pPr>
        <w:pStyle w:val="Style5"/>
        <w:framePr w:w="9134" w:h="2548" w:hRule="exact" w:wrap="around" w:vAnchor="page" w:hAnchor="page" w:x="1400" w:y="7501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2019 </w:t>
      </w:r>
      <w:r>
        <w:rPr>
          <w:rStyle w:val="CharStyle7"/>
          <w:b w:val="0"/>
          <w:bCs w:val="0"/>
        </w:rPr>
        <w:t>Г.</w:t>
      </w:r>
    </w:p>
    <w:p>
      <w:pPr>
        <w:pStyle w:val="Style8"/>
        <w:framePr w:w="9134" w:h="238" w:hRule="exact" w:wrap="around" w:vAnchor="page" w:hAnchor="page" w:x="1400" w:y="1245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ШИФР 83.635.450. ПКР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514" w:line="16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СОИСПОЛНИТЕЛЬ:</w:t>
      </w: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819" w:line="16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АДРЕС СОИСПОЛНИТЕЛЯ:</w:t>
      </w: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514" w:line="16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ТЕЛЕФОН (ФАКС)</w:t>
      </w: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1174" w:line="160" w:lineRule="exact"/>
        <w:ind w:left="20" w:right="0" w:firstLine="0"/>
      </w:pPr>
      <w:r>
        <w:rPr>
          <w:lang w:val="en-US" w:eastAsia="en-US" w:bidi="en-US"/>
          <w:w w:val="100"/>
          <w:color w:val="000000"/>
          <w:position w:val="0"/>
        </w:rPr>
        <w:t>E-MAIL</w:t>
      </w: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514" w:line="16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ДИРЕКТОР:</w:t>
      </w:r>
    </w:p>
    <w:p>
      <w:pPr>
        <w:pStyle w:val="Style10"/>
        <w:framePr w:w="2462" w:h="4805" w:hRule="exact" w:wrap="around" w:vAnchor="page" w:hAnchor="page" w:x="1280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ПРОЕКТИРОВЩИК: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Общество с ограниченной ответственностью «Спектр-С»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355042, Ставропольский край, г.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Ставрополь, ул. 50 лет ВЛКСМ, стр. 63, корп. Б, оф. 320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+7-8652-330-882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+7-8652-992-039</w:t>
      </w:r>
    </w:p>
    <w:p>
      <w:pPr>
        <w:pStyle w:val="Style12"/>
        <w:framePr w:w="5376" w:h="2881" w:hRule="exact" w:wrap="around" w:vAnchor="page" w:hAnchor="page" w:x="5206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0" w:right="0" w:firstLine="0"/>
      </w:pPr>
      <w:r>
        <w:fldChar w:fldCharType="begin"/>
      </w:r>
      <w:r>
        <w:rPr>
          <w:color w:val="000000"/>
        </w:rPr>
        <w:instrText> HYPERLINK "mailto:np-gkh@bk.ru" </w:instrText>
      </w:r>
      <w:r>
        <w:fldChar w:fldCharType="separate"/>
      </w:r>
      <w:r>
        <w:rPr>
          <w:rStyle w:val="Hyperlink"/>
          <w:lang w:val="en-US" w:eastAsia="en-US" w:bidi="en-US"/>
          <w:sz w:val="24"/>
          <w:szCs w:val="24"/>
          <w:w w:val="100"/>
          <w:position w:val="0"/>
        </w:rPr>
        <w:t>np-gkh@bk.ru</w:t>
      </w:r>
      <w:r>
        <w:fldChar w:fldCharType="end"/>
      </w:r>
    </w:p>
    <w:p>
      <w:pPr>
        <w:pStyle w:val="Style12"/>
        <w:framePr w:wrap="around" w:vAnchor="page" w:hAnchor="page" w:x="5206" w:y="4757"/>
        <w:tabs>
          <w:tab w:leader="none" w:pos="3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5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Н.И. Хведченя</w:t>
      </w:r>
    </w:p>
    <w:p>
      <w:pPr>
        <w:pStyle w:val="Style12"/>
        <w:framePr w:wrap="around" w:vAnchor="page" w:hAnchor="page" w:x="5206" w:y="544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5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Д.В. Момотова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="9734" w:h="14354" w:hRule="exact" w:wrap="around" w:vAnchor="page" w:hAnchor="page" w:x="1097" w:y="932"/>
        <w:widowControl w:val="0"/>
        <w:keepNext w:val="0"/>
        <w:keepLines w:val="0"/>
        <w:shd w:val="clear" w:color="auto" w:fill="auto"/>
        <w:bidi w:val="0"/>
        <w:spacing w:before="0" w:after="428" w:line="260" w:lineRule="exact"/>
        <w:ind w:left="36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СОДЕРЖАНИЕ</w:t>
      </w:r>
      <w:bookmarkEnd w:id="1"/>
    </w:p>
    <w:p>
      <w:pPr>
        <w:pStyle w:val="TOC 1"/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98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Паспорт Программы</w:t>
        <w:tab/>
        <w:t>6</w:t>
      </w:r>
    </w:p>
    <w:p>
      <w:pPr>
        <w:pStyle w:val="TOC 1"/>
        <w:framePr w:w="9734" w:h="14354" w:hRule="exact" w:wrap="around" w:vAnchor="page" w:hAnchor="page" w:x="1097" w:y="932"/>
        <w:tabs>
          <w:tab w:leader="dot" w:pos="8689" w:val="right"/>
        </w:tabs>
        <w:widowControl w:val="0"/>
        <w:keepNext w:val="0"/>
        <w:keepLines w:val="0"/>
        <w:shd w:val="clear" w:color="auto" w:fill="auto"/>
        <w:bidi w:val="0"/>
        <w:spacing w:before="0" w:after="164" w:line="370" w:lineRule="exact"/>
        <w:ind w:left="20" w:right="10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Постановление Правительства РФ от 14.06.2013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502 «Об утверждении требований к программам комплексного развития систем коммунальной инфраструктуры поселений, городских округов»</w:t>
        <w:tab/>
        <w:t>9</w:t>
      </w:r>
    </w:p>
    <w:p>
      <w:pPr>
        <w:pStyle w:val="TOC 3"/>
        <w:framePr w:w="9734" w:h="14354" w:hRule="exact" w:wrap="around" w:vAnchor="page" w:hAnchor="page" w:x="1097" w:y="932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202" w:line="240" w:lineRule="exact"/>
        <w:ind w:left="0" w:right="0" w:firstLine="0"/>
      </w:pPr>
      <w:hyperlink w:anchor="bookmark4" w:tooltip="Current Document">
        <w:r>
          <w:rPr>
            <w:rStyle w:val="CharStyle17"/>
          </w:rPr>
          <w:t>Введение</w:t>
          <w:tab/>
          <w:t>15</w:t>
        </w:r>
      </w:hyperlink>
    </w:p>
    <w:p>
      <w:pPr>
        <w:pStyle w:val="TOC 1"/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97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Краткая характеристика муниципального образования</w:t>
        <w:tab/>
        <w:t>19</w:t>
      </w:r>
    </w:p>
    <w:p>
      <w:pPr>
        <w:pStyle w:val="TOC 3"/>
        <w:numPr>
          <w:ilvl w:val="0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" w:right="400" w:firstLine="0"/>
      </w:pPr>
      <w:hyperlink w:anchor="bookmark8" w:tooltip="Current Document">
        <w:r>
          <w:rPr>
            <w:rStyle w:val="CharStyle17"/>
          </w:rPr>
          <w:t xml:space="preserve"> Характеристика существующего состояния систем коммунальной инфраструктуры</w:t>
          <w:tab/>
          <w:t>21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10" w:tooltip="Current Document">
        <w:r>
          <w:rPr>
            <w:rStyle w:val="CharStyle17"/>
          </w:rPr>
          <w:t xml:space="preserve"> Краткая характеристика системы электроснабжения</w:t>
          <w:tab/>
          <w:t>22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12" w:tooltip="Current Document">
        <w:r>
          <w:rPr>
            <w:rStyle w:val="CharStyle17"/>
          </w:rPr>
          <w:t xml:space="preserve"> Краткая характеристика системы газоснабжения</w:t>
          <w:tab/>
          <w:t>22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14" w:tooltip="Current Document">
        <w:r>
          <w:rPr>
            <w:rStyle w:val="CharStyle17"/>
          </w:rPr>
          <w:t xml:space="preserve"> Краткая характеристика системы теплоснабжения</w:t>
          <w:tab/>
          <w:t>23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16" w:tooltip="Current Document">
        <w:r>
          <w:rPr>
            <w:rStyle w:val="CharStyle17"/>
          </w:rPr>
          <w:t xml:space="preserve"> Краткая характеристика системы водоснабжения</w:t>
          <w:tab/>
          <w:t>23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18" w:tooltip="Current Document">
        <w:r>
          <w:rPr>
            <w:rStyle w:val="CharStyle17"/>
          </w:rPr>
          <w:t xml:space="preserve"> Краткая характеристика системы водоотведения</w:t>
          <w:tab/>
          <w:t>24</w:t>
        </w:r>
      </w:hyperlink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" w:right="400" w:firstLine="0"/>
      </w:pPr>
      <w:hyperlink w:anchor="bookmark20" w:tooltip="Current Document">
        <w:r>
          <w:rPr>
            <w:rStyle w:val="CharStyle17"/>
          </w:rPr>
          <w:t xml:space="preserve"> Краткая характеристика системы обращения с твердыми коммунальными отходами</w:t>
          <w:tab/>
          <w:t>24</w:t>
        </w:r>
      </w:hyperlink>
    </w:p>
    <w:p>
      <w:pPr>
        <w:pStyle w:val="TOC 3"/>
        <w:numPr>
          <w:ilvl w:val="0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21" w:tooltip="Current Document">
        <w:r>
          <w:rPr>
            <w:rStyle w:val="CharStyle17"/>
          </w:rPr>
          <w:t xml:space="preserve"> План развития поселения</w:t>
          <w:tab/>
          <w:t>26</w:t>
        </w:r>
      </w:hyperlink>
    </w:p>
    <w:p>
      <w:pPr>
        <w:pStyle w:val="TOC 1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Динамика численности населения</w:t>
        <w:tab/>
        <w:t>26</w:t>
      </w:r>
    </w:p>
    <w:p>
      <w:pPr>
        <w:pStyle w:val="TOC 4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25" w:tooltip="Current Document">
        <w:r>
          <w:rPr>
            <w:rStyle w:val="CharStyle17"/>
          </w:rPr>
          <w:t xml:space="preserve"> План прогнозируемой застройки</w:t>
          <w:tab/>
          <w:t>27</w:t>
        </w:r>
      </w:hyperlink>
    </w:p>
    <w:p>
      <w:pPr>
        <w:pStyle w:val="TOC 3"/>
        <w:numPr>
          <w:ilvl w:val="0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27" w:tooltip="Current Document">
        <w:r>
          <w:rPr>
            <w:rStyle w:val="CharStyle17"/>
          </w:rPr>
          <w:t xml:space="preserve"> Перечень мероприятий и целевых показателей Программы</w:t>
          <w:tab/>
          <w:t>28</w:t>
        </w:r>
      </w:hyperlink>
    </w:p>
    <w:p>
      <w:pPr>
        <w:pStyle w:val="TOC 1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6" w:line="365" w:lineRule="exact"/>
        <w:ind w:left="20" w:right="26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Мероприятия, направленные на качественное и бесперебойное обеспечение электро-, газо-, тепло-, водоснабжения и водоотведения новых объектов капитального строительства</w:t>
        <w:tab/>
        <w:t>29</w:t>
      </w:r>
    </w:p>
    <w:p>
      <w:pPr>
        <w:pStyle w:val="TOC 1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70" w:lineRule="exact"/>
        <w:ind w:left="20" w:right="26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Мероприятия по улучшению качества услуг организаций, эксплуатирующих объекты, используемые для утилизации, обезвреживания и захоронения твердых коммунальных отходов</w:t>
        <w:tab/>
        <w:t>30</w:t>
      </w:r>
    </w:p>
    <w:p>
      <w:pPr>
        <w:pStyle w:val="Style12"/>
        <w:numPr>
          <w:ilvl w:val="1"/>
          <w:numId w:val="1"/>
        </w:numPr>
        <w:framePr w:w="9734" w:h="14354" w:hRule="exact" w:wrap="around" w:vAnchor="page" w:hAnchor="page" w:x="1097" w:y="932"/>
        <w:widowControl w:val="0"/>
        <w:keepNext w:val="0"/>
        <w:keepLines w:val="0"/>
        <w:shd w:val="clear" w:color="auto" w:fill="auto"/>
        <w:bidi w:val="0"/>
        <w:jc w:val="left"/>
        <w:spacing w:before="0" w:after="60" w:line="370" w:lineRule="exact"/>
        <w:ind w:left="20" w:right="260" w:firstLine="0"/>
      </w:pPr>
      <w:hyperlink w:anchor="bookmark31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Мероприятия направленные на повышение надежности газо-, электро-,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1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тепло-, водоснабжения и водоотведения, и качества коммунальных ресурсов30</w:t>
        </w:r>
      </w:hyperlink>
    </w:p>
    <w:p>
      <w:pPr>
        <w:pStyle w:val="Style12"/>
        <w:numPr>
          <w:ilvl w:val="1"/>
          <w:numId w:val="1"/>
        </w:numPr>
        <w:framePr w:w="9734" w:h="14354" w:hRule="exact" w:wrap="around" w:vAnchor="page" w:hAnchor="page" w:x="1097" w:y="932"/>
        <w:tabs>
          <w:tab w:leader="dot" w:pos="935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260" w:firstLine="0"/>
      </w:pPr>
      <w:hyperlink w:anchor="bookmark32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Мероприятия, направленные на повышение энергетической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2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эффективности и технического уровня объектов, входящих в состав систем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2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электро-, газо-, тепло-, водоснабжения и водоотведения, и объектов,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2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используемых для утилизации, обезвреживания и захоронения твердых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2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коммунальных отходов</w:t>
          <w:tab/>
          <w:t>32</w:t>
        </w:r>
      </w:hyperlink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70" w:lineRule="exact"/>
        <w:ind w:left="20" w:right="0" w:firstLine="0"/>
      </w:pP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Мероприятия, направленные на улучшение экологической ситуации, с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учетом достижения организациями, осуществляющими электро-, газо-,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тепло-, водоснабжение и водоотведение, и организациями, оказывающими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услуги по утилизации, обезвреживанию и захоронению твердых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коммунальных отходов, нормативов допустимого воздействия на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33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окружающую среду</w:t>
          <w:tab/>
          <w:t>32</w:t>
        </w:r>
      </w:hyperlink>
    </w:p>
    <w:p>
      <w:pPr>
        <w:pStyle w:val="TOC 1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Мероприятия, предусмотренные программой в области энергосбережения и повышения энергетической эффективности</w:t>
        <w:tab/>
        <w:t>33</w:t>
      </w:r>
    </w:p>
    <w:p>
      <w:pPr>
        <w:pStyle w:val="TOC 1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70" w:lineRule="exact"/>
        <w:ind w:left="20" w:right="0" w:firstLine="0"/>
      </w:pPr>
      <w:hyperlink w:anchor="bookmark0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Целевые показатели комплексного развития систем коммунальной инфраструктуры</w:t>
          <w:tab/>
          <w:t>33</w:t>
        </w:r>
      </w:hyperlink>
    </w:p>
    <w:p>
      <w:pPr>
        <w:pStyle w:val="TOC 3"/>
        <w:numPr>
          <w:ilvl w:val="0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0" w:firstLine="0"/>
      </w:pPr>
      <w:hyperlink w:anchor="bookmark37" w:tooltip="Current Document">
        <w:r>
          <w:rPr>
            <w:rStyle w:val="CharStyle17"/>
          </w:rPr>
          <w:t xml:space="preserve"> Анализ фактических и плановых расходов на финансирование инвестиционных проектов</w:t>
          <w:tab/>
          <w:t>36</w:t>
        </w:r>
      </w:hyperlink>
    </w:p>
    <w:p>
      <w:pPr>
        <w:pStyle w:val="TOC 3"/>
        <w:numPr>
          <w:ilvl w:val="0"/>
          <w:numId w:val="1"/>
        </w:numPr>
        <w:framePr w:w="9350" w:h="14994" w:hRule="exact" w:wrap="around" w:vAnchor="page" w:hAnchor="page" w:x="1281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20" w:right="0" w:firstLine="0"/>
      </w:pPr>
      <w:hyperlink w:anchor="bookmark38" w:tooltip="Current Document">
        <w:r>
          <w:rPr>
            <w:rStyle w:val="CharStyle17"/>
          </w:rPr>
          <w:t xml:space="preserve"> Обоснование прогнозируемого спроса на коммунальные ресурсы 38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42" w:tooltip="Current Document">
        <w:r>
          <w:rPr>
            <w:rStyle w:val="CharStyle17"/>
          </w:rPr>
          <w:t xml:space="preserve"> Определение прогнозируемой численности населения</w:t>
          <w:tab/>
          <w:t>39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44" w:tooltip="Current Document">
        <w:r>
          <w:rPr>
            <w:rStyle w:val="CharStyle17"/>
          </w:rPr>
          <w:t xml:space="preserve"> Определение прогнозируемого спроса на электрическую энергию</w:t>
          <w:tab/>
          <w:t>40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46" w:tooltip="Current Document">
        <w:r>
          <w:rPr>
            <w:rStyle w:val="CharStyle17"/>
          </w:rPr>
          <w:t xml:space="preserve"> Определение прогнозируемого спроса на газ</w:t>
          <w:tab/>
          <w:t>42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48" w:tooltip="Current Document">
        <w:r>
          <w:rPr>
            <w:rStyle w:val="CharStyle17"/>
          </w:rPr>
          <w:t xml:space="preserve"> Определение прогнозируемого спроса на холодную воду</w:t>
          <w:tab/>
          <w:t>44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50" w:tooltip="Current Document">
        <w:r>
          <w:rPr>
            <w:rStyle w:val="CharStyle17"/>
          </w:rPr>
          <w:t xml:space="preserve"> Определение прогнозируемого спроса на сточные бытовые воды</w:t>
          <w:tab/>
          <w:t>45</w:t>
        </w:r>
      </w:hyperlink>
    </w:p>
    <w:p>
      <w:pPr>
        <w:pStyle w:val="TOC 1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65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Определение прогнозируемого спроса на утилизацию, обезвреживание и захоронение твердых коммунальных отходов</w:t>
        <w:tab/>
        <w:t>46</w:t>
      </w:r>
    </w:p>
    <w:p>
      <w:pPr>
        <w:pStyle w:val="TOC 1"/>
        <w:numPr>
          <w:ilvl w:val="0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60" w:line="365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Обоснование целевых показателей комплексного развития коммунальной инфраструктуры, а также мероприятий, входящих в план застройки</w:t>
        <w:tab/>
        <w:t>48</w:t>
      </w:r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97" w:line="240" w:lineRule="exact"/>
        <w:ind w:left="20" w:right="0" w:firstLine="0"/>
      </w:pPr>
      <w:hyperlink w:anchor="bookmark56" w:tooltip="Current Document">
        <w:r>
          <w:rPr>
            <w:rStyle w:val="CharStyle17"/>
          </w:rPr>
          <w:t xml:space="preserve"> Обоснование мероприятий, входящих в план застройки</w:t>
          <w:tab/>
          <w:t>50</w:t>
        </w:r>
      </w:hyperlink>
    </w:p>
    <w:p>
      <w:pPr>
        <w:pStyle w:val="TOC 3"/>
        <w:numPr>
          <w:ilvl w:val="0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" w:right="0" w:firstLine="0"/>
      </w:pPr>
      <w:hyperlink w:anchor="bookmark58" w:tooltip="Current Document">
        <w:r>
          <w:rPr>
            <w:rStyle w:val="CharStyle17"/>
          </w:rPr>
          <w:t xml:space="preserve"> Характеристика состояния и проблем соответствующей системы коммунальной инфраструктуры</w:t>
          <w:tab/>
          <w:t>51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61" w:tooltip="Current Document">
        <w:r>
          <w:rPr>
            <w:rStyle w:val="CharStyle17"/>
          </w:rPr>
          <w:t xml:space="preserve"> Характеристика системы электроснабжения</w:t>
          <w:tab/>
          <w:t>51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63" w:tooltip="Current Document">
        <w:r>
          <w:rPr>
            <w:rStyle w:val="CharStyle17"/>
          </w:rPr>
          <w:t xml:space="preserve"> Характеристика системы газоснабжения</w:t>
          <w:tab/>
          <w:t>52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65" w:tooltip="Current Document">
        <w:r>
          <w:rPr>
            <w:rStyle w:val="CharStyle17"/>
          </w:rPr>
          <w:t xml:space="preserve"> Характеристика системы теплоснабжения</w:t>
          <w:tab/>
          <w:t>54</w:t>
        </w:r>
      </w:hyperlink>
    </w:p>
    <w:p>
      <w:pPr>
        <w:pStyle w:val="TOC 4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hyperlink w:anchor="bookmark67" w:tooltip="Current Document">
        <w:r>
          <w:rPr>
            <w:rStyle w:val="CharStyle17"/>
          </w:rPr>
          <w:t xml:space="preserve"> Характеристика системы водоснабжения</w:t>
          <w:tab/>
          <w:t>55</w:t>
        </w:r>
      </w:hyperlink>
    </w:p>
    <w:p>
      <w:pPr>
        <w:pStyle w:val="TOC 1"/>
        <w:numPr>
          <w:ilvl w:val="1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Характеристика системы водоотведения</w:t>
        <w:tab/>
        <w:t>56</w:t>
      </w:r>
    </w:p>
    <w:p>
      <w:pPr>
        <w:pStyle w:val="TOC 1"/>
        <w:numPr>
          <w:ilvl w:val="0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4" w:line="365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Оценка реализации мероприятий в области энерго- и ресурсосбережения, мероприятий по сбору и учету информации об использовании энергетических ресурсов</w:t>
        <w:tab/>
        <w:t>57</w:t>
      </w:r>
    </w:p>
    <w:p>
      <w:pPr>
        <w:pStyle w:val="TOC 3"/>
        <w:numPr>
          <w:ilvl w:val="0"/>
          <w:numId w:val="1"/>
        </w:numPr>
        <w:framePr w:w="9350" w:h="14994" w:hRule="exact" w:wrap="around" w:vAnchor="page" w:hAnchor="page" w:x="1281" w:y="809"/>
        <w:tabs>
          <w:tab w:leader="dot" w:pos="9340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0" w:right="0" w:firstLine="0"/>
      </w:pPr>
      <w:hyperlink w:anchor="bookmark72" w:tooltip="Current Document">
        <w:r>
          <w:rPr>
            <w:rStyle w:val="CharStyle17"/>
          </w:rPr>
          <w:t xml:space="preserve"> Обоснование целевых показателей развития соответствующей системы коммунальной инфраструктуры</w:t>
          <w:tab/>
          <w:t>59</w:t>
        </w:r>
      </w:hyperlink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TOC 4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hyperlink w:anchor="bookmark75" w:tooltip="Current Document">
        <w:r>
          <w:rPr>
            <w:rStyle w:val="CharStyle17"/>
          </w:rPr>
          <w:t xml:space="preserve"> Целевые показатели системы электроснабжения</w:t>
          <w:tab/>
          <w:t>59</w:t>
        </w:r>
      </w:hyperlink>
    </w:p>
    <w:p>
      <w:pPr>
        <w:pStyle w:val="TOC 4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hyperlink w:anchor="bookmark77" w:tooltip="Current Document">
        <w:r>
          <w:rPr>
            <w:rStyle w:val="CharStyle17"/>
          </w:rPr>
          <w:t xml:space="preserve"> Целевые показатели системы газоснабжения</w:t>
          <w:tab/>
          <w:t>63</w:t>
        </w:r>
      </w:hyperlink>
    </w:p>
    <w:p>
      <w:pPr>
        <w:pStyle w:val="TOC 4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hyperlink w:anchor="bookmark79" w:tooltip="Current Document">
        <w:r>
          <w:rPr>
            <w:rStyle w:val="CharStyle17"/>
          </w:rPr>
          <w:t xml:space="preserve"> Целевые показатели системы водоснабжения</w:t>
          <w:tab/>
          <w:t>66</w:t>
        </w:r>
      </w:hyperlink>
    </w:p>
    <w:p>
      <w:pPr>
        <w:pStyle w:val="TOC 1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Целевые показатели системы водоотведения</w:t>
        <w:tab/>
        <w:t>68</w:t>
      </w:r>
    </w:p>
    <w:p>
      <w:pPr>
        <w:pStyle w:val="TOC 3"/>
        <w:numPr>
          <w:ilvl w:val="0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hyperlink w:anchor="bookmark80" w:tooltip="Current Document">
        <w:r>
          <w:rPr>
            <w:rStyle w:val="CharStyle17"/>
          </w:rPr>
          <w:t xml:space="preserve"> Перечень инвестиционных проектов</w:t>
          <w:tab/>
          <w:t>71</w:t>
        </w:r>
      </w:hyperlink>
    </w:p>
    <w:p>
      <w:pPr>
        <w:pStyle w:val="TOC 1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Инвестиционные проекты в отношении системы водоснабжения</w:t>
        <w:tab/>
        <w:t>71</w:t>
      </w:r>
    </w:p>
    <w:p>
      <w:pPr>
        <w:pStyle w:val="TOC 1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Инвестиционные проекты в отношении системы теплоснабжения</w:t>
        <w:tab/>
        <w:t>71</w:t>
      </w:r>
    </w:p>
    <w:p>
      <w:pPr>
        <w:pStyle w:val="TOC 1"/>
        <w:numPr>
          <w:ilvl w:val="1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64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Инвестиционные проекты в области энергосбережения и повышения энергетической эффективности</w:t>
        <w:tab/>
        <w:t>71</w:t>
      </w:r>
    </w:p>
    <w:p>
      <w:pPr>
        <w:pStyle w:val="Style12"/>
        <w:numPr>
          <w:ilvl w:val="0"/>
          <w:numId w:val="1"/>
        </w:numPr>
        <w:framePr w:w="9350" w:h="7901" w:hRule="exact" w:wrap="around" w:vAnchor="page" w:hAnchor="page" w:x="1281" w:y="723"/>
        <w:widowControl w:val="0"/>
        <w:keepNext w:val="0"/>
        <w:keepLines w:val="0"/>
        <w:shd w:val="clear" w:color="auto" w:fill="auto"/>
        <w:bidi w:val="0"/>
        <w:jc w:val="both"/>
        <w:spacing w:before="0" w:after="93" w:line="240" w:lineRule="exact"/>
        <w:ind w:left="20" w:right="0" w:firstLine="0"/>
      </w:pPr>
      <w:hyperlink w:anchor="bookmark85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Предложения по организации реализации инвестиционных проектов 73</w:t>
        </w:r>
      </w:hyperlink>
    </w:p>
    <w:p>
      <w:pPr>
        <w:pStyle w:val="Style12"/>
        <w:numPr>
          <w:ilvl w:val="0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4" w:line="370" w:lineRule="exact"/>
        <w:ind w:left="20" w:right="20" w:firstLine="0"/>
      </w:pPr>
      <w:hyperlink w:anchor="bookmark87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Обоснование использования в качестве источников финансирования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87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инвестиционных проектов тарифов, платы за подключение (технологическое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87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присоединение) объектов капитального строительства к системам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87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коммунальной инфраструктуры</w:t>
          <w:tab/>
          <w:t>74</w:t>
        </w:r>
      </w:hyperlink>
    </w:p>
    <w:p>
      <w:pPr>
        <w:pStyle w:val="Style12"/>
        <w:numPr>
          <w:ilvl w:val="0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6" w:line="365" w:lineRule="exact"/>
        <w:ind w:left="20" w:right="20" w:firstLine="0"/>
      </w:pPr>
      <w:hyperlink w:anchor="bookmark90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Результаты оценки совокупного платежа граждан за коммунальные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90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услуги на соответствие критериям доступности</w:t>
          <w:tab/>
          <w:t>75</w:t>
        </w:r>
      </w:hyperlink>
    </w:p>
    <w:p>
      <w:pPr>
        <w:pStyle w:val="Style12"/>
        <w:numPr>
          <w:ilvl w:val="0"/>
          <w:numId w:val="1"/>
        </w:numPr>
        <w:framePr w:w="9350" w:h="7901" w:hRule="exact" w:wrap="around" w:vAnchor="page" w:hAnchor="page" w:x="1281" w:y="723"/>
        <w:tabs>
          <w:tab w:leader="dot" w:pos="9335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20" w:firstLine="0"/>
      </w:pPr>
      <w:hyperlink w:anchor="bookmark91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 xml:space="preserve"> Прогнозируемые расходы на предоставление отдельным категориям</w:t>
        </w:r>
      </w:hyperlink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hyperlink w:anchor="bookmark91" w:tooltip="Current Document">
        <w:r>
          <w:rPr>
            <w:lang w:val="ru-RU" w:eastAsia="ru-RU" w:bidi="ru-RU"/>
            <w:sz w:val="24"/>
            <w:szCs w:val="24"/>
            <w:w w:val="100"/>
            <w:color w:val="000000"/>
            <w:position w:val="0"/>
          </w:rPr>
          <w:t>граждан субсидий на оплату коммунальных услуг</w:t>
          <w:tab/>
          <w:t>85</w:t>
        </w:r>
      </w:hyperlink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framePr w:wrap="around" w:vAnchor="page" w:hAnchor="page" w:x="4388" w:y="9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ПАСПОРТ ПРОГРАММЫ</w:t>
      </w:r>
    </w:p>
    <w:tbl>
      <w:tblPr>
        <w:tblOverlap w:val="never"/>
        <w:tblLayout w:type="fixed"/>
        <w:jc w:val="left"/>
      </w:tblPr>
      <w:tblGrid>
        <w:gridCol w:w="3374"/>
        <w:gridCol w:w="6211"/>
      </w:tblGrid>
      <w:tr>
        <w:trPr>
          <w:trHeight w:val="136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bookmarkStart w:id="2" w:name="bookmark2"/>
            <w:r>
              <w:rPr>
                <w:rStyle w:val="CharStyle20"/>
              </w:rPr>
              <w:t>Заказчик</w:t>
            </w:r>
            <w:bookmarkEnd w:id="2"/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20"/>
              </w:rPr>
              <w:t>Муниципальное учреждение «Местная администрация сельского поселения Тамбовское» Терского муниципального района Кабардино-Балкарской Республики</w:t>
            </w:r>
          </w:p>
        </w:tc>
      </w:tr>
      <w:tr>
        <w:trPr>
          <w:trHeight w:val="13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Ответственный исполнитель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Муниципальное учреждение «Местная администрация сельского поселения Тамбовское» Терского муниципального района Кабардино-Балкарской Республики</w:t>
            </w:r>
          </w:p>
        </w:tc>
      </w:tr>
      <w:tr>
        <w:trPr>
          <w:trHeight w:val="23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120" w:right="0" w:firstLine="0"/>
            </w:pPr>
            <w:r>
              <w:rPr>
                <w:rStyle w:val="CharStyle20"/>
              </w:rPr>
              <w:t>Соисполнители</w:t>
            </w:r>
          </w:p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120" w:right="0" w:firstLine="0"/>
            </w:pPr>
            <w:r>
              <w:rPr>
                <w:rStyle w:val="CharStyle20"/>
              </w:rPr>
              <w:t>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20" w:line="240" w:lineRule="exact"/>
              <w:ind w:left="0" w:right="0" w:firstLine="0"/>
            </w:pPr>
            <w:r>
              <w:rPr>
                <w:rStyle w:val="CharStyle20"/>
              </w:rPr>
              <w:t>ООО «Спектр-С»</w:t>
            </w:r>
          </w:p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17" w:lineRule="exact"/>
              <w:ind w:left="120" w:right="0" w:firstLine="0"/>
            </w:pPr>
            <w:r>
              <w:rPr>
                <w:rStyle w:val="CharStyle20"/>
              </w:rPr>
              <w:t>Юридические и физические лица, владеющие на праве собственности и ином законном основании объектами коммунальной инфраструктуры и (или) оказывающие на территории муниципального образования соответствующие коммунальные услуги.</w:t>
            </w:r>
          </w:p>
        </w:tc>
      </w:tr>
      <w:tr>
        <w:trPr>
          <w:trHeight w:val="61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Цели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40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Создание комплексного документа, для реализации полномочий муниципального образования в сфере обеспечения потребителей качественными и доступными коммунальными услугами.</w:t>
            </w:r>
          </w:p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Соблюдение нормативных параметров качества коммунальных ресурсов.</w:t>
            </w:r>
          </w:p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27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20"/>
              </w:rPr>
              <w:t>Повышение надежности систем коммунальной инфраструктуры.</w:t>
            </w:r>
          </w:p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20"/>
              </w:rPr>
              <w:t>Обеспечение доступности систем коммунальной инфраструктуры.</w:t>
            </w:r>
          </w:p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3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20"/>
              </w:rPr>
              <w:t>Качественное и бесперебойное снабжение коммунальными ресурсами новых объектов капитального строительства.</w:t>
            </w:r>
          </w:p>
          <w:p>
            <w:pPr>
              <w:pStyle w:val="Style12"/>
              <w:numPr>
                <w:ilvl w:val="0"/>
                <w:numId w:val="3"/>
              </w:numPr>
              <w:framePr w:w="9586" w:h="14630" w:wrap="around" w:vAnchor="page" w:hAnchor="page" w:x="1163" w:y="1249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Обновления и модернизации основных фондов коммунального комплекса в соответствии с современными требованиями к технологии и качеству услуг.</w:t>
            </w:r>
          </w:p>
        </w:tc>
      </w:tr>
      <w:tr>
        <w:trPr>
          <w:trHeight w:val="3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86" w:h="14630" w:wrap="around" w:vAnchor="page" w:hAnchor="page" w:x="1163" w:y="1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Задачи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numPr>
                <w:ilvl w:val="0"/>
                <w:numId w:val="5"/>
              </w:numPr>
              <w:framePr w:w="9586" w:h="14630" w:wrap="around" w:vAnchor="page" w:hAnchor="page" w:x="1163" w:y="1249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Обеспечение сбалансированности интересов субъектов коммунальной инфраструктуры и потребителей.</w:t>
            </w:r>
          </w:p>
          <w:p>
            <w:pPr>
              <w:pStyle w:val="Style12"/>
              <w:numPr>
                <w:ilvl w:val="0"/>
                <w:numId w:val="5"/>
              </w:numPr>
              <w:framePr w:w="9586" w:h="14630" w:wrap="around" w:vAnchor="page" w:hAnchor="page" w:x="1163" w:y="1249"/>
              <w:tabs>
                <w:tab w:leader="none" w:pos="3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Развитие системы коммунальной инфраструктуры, отвечающей требованиям социально-экономического развития муниципального образования.</w:t>
            </w:r>
          </w:p>
          <w:p>
            <w:pPr>
              <w:pStyle w:val="Style12"/>
              <w:numPr>
                <w:ilvl w:val="0"/>
                <w:numId w:val="5"/>
              </w:numPr>
              <w:framePr w:w="9586" w:h="14630" w:wrap="around" w:vAnchor="page" w:hAnchor="page" w:x="1163" w:y="1249"/>
              <w:tabs>
                <w:tab w:leader="none" w:pos="3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Разработка необходимых взаимосвязанных мероприятий по строительству и модернизации всех систем коммунальной инфраструктуры,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374"/>
        <w:gridCol w:w="6211"/>
      </w:tblGrid>
      <w:tr>
        <w:trPr>
          <w:trHeight w:val="48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5058" w:wrap="around" w:vAnchor="page" w:hAnchor="page" w:x="1175" w:y="8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обеспечивающих достижение планируемых значений целевых показателей.</w:t>
            </w:r>
          </w:p>
          <w:p>
            <w:pPr>
              <w:pStyle w:val="Style12"/>
              <w:numPr>
                <w:ilvl w:val="0"/>
                <w:numId w:val="7"/>
              </w:numPr>
              <w:framePr w:w="9586" w:h="15058" w:wrap="around" w:vAnchor="page" w:hAnchor="page" w:x="1175" w:y="898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Обеспечение инженерной подготовки земельных участков под жилищное и промышленное строительство.</w:t>
            </w:r>
          </w:p>
          <w:p>
            <w:pPr>
              <w:pStyle w:val="Style12"/>
              <w:numPr>
                <w:ilvl w:val="0"/>
                <w:numId w:val="7"/>
              </w:numPr>
              <w:framePr w:w="9586" w:h="15058" w:wrap="around" w:vAnchor="page" w:hAnchor="page" w:x="1175" w:y="898"/>
              <w:tabs>
                <w:tab w:leader="none" w:pos="40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Определение целевых показателей развития инженерной инфраструктуры, обеспечивающих качество и надежность оказания коммунальных услуг.</w:t>
            </w:r>
          </w:p>
          <w:p>
            <w:pPr>
              <w:pStyle w:val="Style12"/>
              <w:numPr>
                <w:ilvl w:val="0"/>
                <w:numId w:val="7"/>
              </w:numPr>
              <w:framePr w:w="9586" w:h="15058" w:wrap="around" w:vAnchor="page" w:hAnchor="page" w:x="1175" w:y="898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Определение финансовых потребностей и источников финансирования инвестиционных проектов.</w:t>
            </w:r>
          </w:p>
          <w:p>
            <w:pPr>
              <w:pStyle w:val="Style12"/>
              <w:numPr>
                <w:ilvl w:val="0"/>
                <w:numId w:val="7"/>
              </w:numPr>
              <w:framePr w:w="9586" w:h="15058" w:wrap="around" w:vAnchor="page" w:hAnchor="page" w:x="1175" w:y="898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Формирование механизма реализации программы.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Целевые показатели: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15058" w:wrap="around" w:vAnchor="page" w:hAnchor="page" w:x="1175" w:y="8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перспективной обеспеченности и потребности застройки поселения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4" w:lineRule="exact"/>
              <w:ind w:left="120" w:right="0" w:firstLine="0"/>
            </w:pPr>
            <w:r>
              <w:rPr>
                <w:rStyle w:val="CharStyle20"/>
              </w:rPr>
              <w:t>Первый этап - 17,20 м</w:t>
            </w:r>
            <w:r>
              <w:rPr>
                <w:rStyle w:val="CharStyle20"/>
                <w:vertAlign w:val="superscript"/>
              </w:rPr>
              <w:t>2</w:t>
            </w:r>
            <w:r>
              <w:rPr>
                <w:rStyle w:val="CharStyle20"/>
              </w:rPr>
              <w:t>/чел., 32,79 тыс. м</w:t>
            </w:r>
            <w:r>
              <w:rPr>
                <w:rStyle w:val="CharStyle20"/>
                <w:vertAlign w:val="superscript"/>
              </w:rPr>
              <w:t>2</w:t>
            </w:r>
            <w:r>
              <w:rPr>
                <w:rStyle w:val="CharStyle20"/>
              </w:rPr>
              <w:t>; второй этап - 18,0 м</w:t>
            </w:r>
            <w:r>
              <w:rPr>
                <w:rStyle w:val="CharStyle20"/>
                <w:vertAlign w:val="superscript"/>
              </w:rPr>
              <w:t>2</w:t>
            </w:r>
            <w:r>
              <w:rPr>
                <w:rStyle w:val="CharStyle20"/>
              </w:rPr>
              <w:t>/чел., 36,78 тыс. м</w:t>
            </w:r>
            <w:r>
              <w:rPr>
                <w:rStyle w:val="CharStyle20"/>
                <w:vertAlign w:val="superscript"/>
              </w:rPr>
              <w:t>2</w:t>
            </w:r>
            <w:r>
              <w:rPr>
                <w:rStyle w:val="CharStyle20"/>
              </w:rPr>
              <w:t>.</w:t>
            </w:r>
          </w:p>
        </w:tc>
      </w:tr>
      <w:tr>
        <w:trPr>
          <w:trHeight w:val="3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20"/>
              </w:rPr>
              <w:t>изменения спроса на коммунальные ресурсы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20"/>
              </w:rPr>
              <w:t>Первый этап:</w:t>
            </w:r>
          </w:p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20"/>
              </w:rPr>
              <w:t>электроснабжение - 102,93%, газоснабжение - 102,93%, водоснабжение - 102,93%, водоотведение - 0,0%.</w:t>
            </w:r>
          </w:p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20"/>
              </w:rPr>
              <w:t>Второй этап:</w:t>
            </w:r>
          </w:p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20"/>
              </w:rPr>
              <w:t>электроснабжение - 110,33%, газоснабжение - 110,33%, водоснабжение - 110,33%, водоотведение - 105,95%.</w:t>
            </w:r>
          </w:p>
        </w:tc>
      </w:tr>
      <w:tr>
        <w:trPr>
          <w:trHeight w:val="16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надежности, энергоэффективности и развития систем коммунальной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20" w:right="0" w:firstLine="0"/>
            </w:pPr>
            <w:r>
              <w:rPr>
                <w:rStyle w:val="CharStyle20"/>
              </w:rPr>
              <w:t>Представлены в таблице 3.</w:t>
            </w:r>
          </w:p>
        </w:tc>
      </w:tr>
      <w:tr>
        <w:trPr>
          <w:trHeight w:val="297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0" w:right="0" w:firstLine="0"/>
            </w:pPr>
            <w:r>
              <w:rPr>
                <w:rStyle w:val="CharStyle20"/>
              </w:rPr>
              <w:t>качества коммунальных ресурсов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86" w:h="15058" w:wrap="around" w:vAnchor="page" w:hAnchor="page" w:x="1175" w:y="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0" w:right="0" w:firstLine="0"/>
            </w:pPr>
            <w:r>
              <w:rPr>
                <w:rStyle w:val="CharStyle20"/>
              </w:rPr>
              <w:t>Электроснабжение - согласно «ГОСТ 32144</w:t>
              <w:softHyphen/>
              <w:t>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назначения»; газоснабжение - согласно «ГОСТ 5542-2014 Газы горючие природные промышленного и коммунально-бытового назначения. Технические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374"/>
        <w:gridCol w:w="6211"/>
      </w:tblGrid>
      <w:tr>
        <w:trPr>
          <w:trHeight w:val="53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13474" w:wrap="around" w:vAnchor="page" w:hAnchor="page" w:x="1175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120" w:right="0" w:firstLine="0"/>
            </w:pPr>
            <w:r>
              <w:rPr>
                <w:rStyle w:val="CharStyle20"/>
              </w:rPr>
              <w:t>условия»;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22" w:lineRule="exact"/>
              <w:ind w:left="120" w:right="0" w:firstLine="0"/>
            </w:pPr>
            <w:r>
              <w:rPr>
                <w:rStyle w:val="CharStyle20"/>
              </w:rPr>
              <w:t>водоснабжение - согласно «СанПиН 2.1.4.1074</w:t>
              <w:softHyphen/>
              <w:t>01. 2.1.4. Питьевая вода и водоснабжение населенных мест. Питьевая вода. Г 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нормативы»;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водоотведение - согласно «СанПиН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нормы».</w:t>
            </w:r>
          </w:p>
        </w:tc>
      </w:tr>
      <w:tr>
        <w:trPr>
          <w:trHeight w:val="15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0" w:right="0" w:firstLine="0"/>
            </w:pPr>
            <w:r>
              <w:rPr>
                <w:rStyle w:val="CharStyle20"/>
              </w:rPr>
              <w:t>Срок и этапы реализации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20"/>
              </w:rPr>
              <w:t>Срок реализации программы - 2035 год. Этапы реализации программы: первый этап - с 2019 по 2023 гг.; второй этап - с 2023 по 2035 гг.</w:t>
            </w:r>
          </w:p>
        </w:tc>
      </w:tr>
      <w:tr>
        <w:trPr>
          <w:trHeight w:val="29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0" w:right="0" w:firstLine="0"/>
            </w:pPr>
            <w:r>
              <w:rPr>
                <w:rStyle w:val="CharStyle20"/>
              </w:rPr>
              <w:t>Объемы требуемых капитальных вложений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120" w:right="0" w:firstLine="0"/>
            </w:pPr>
            <w:r>
              <w:rPr>
                <w:rStyle w:val="CharStyle20"/>
              </w:rPr>
              <w:t>Первый этап -7827,686 тыс. руб., второй этап - 5881,586 тыс. руб.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20" w:right="0" w:firstLine="0"/>
            </w:pPr>
            <w:r>
              <w:rPr>
                <w:rStyle w:val="CharStyle20"/>
              </w:rPr>
              <w:t>Суммарный объем -13709,272 тыс. руб., в том числе: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120" w:right="0" w:firstLine="0"/>
            </w:pPr>
            <w:r>
              <w:rPr>
                <w:rStyle w:val="CharStyle20"/>
              </w:rPr>
              <w:t>по системе водоснабжения - 11763,172 тыс. руб.;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240" w:lineRule="exact"/>
              <w:ind w:left="120" w:right="0" w:firstLine="0"/>
            </w:pPr>
            <w:r>
              <w:rPr>
                <w:rStyle w:val="CharStyle20"/>
              </w:rPr>
              <w:t>о системе теплоснабжения - 1669,6 тыс. руб.;</w:t>
            </w:r>
          </w:p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22" w:lineRule="exact"/>
              <w:ind w:left="120" w:right="0" w:firstLine="0"/>
            </w:pPr>
            <w:r>
              <w:rPr>
                <w:rStyle w:val="CharStyle20"/>
              </w:rPr>
              <w:t>в области энергосбережения и повышения энергетической эффективности - 276,5</w:t>
            </w:r>
            <w:r>
              <w:rPr>
                <w:rStyle w:val="CharStyle20"/>
                <w:vertAlign w:val="superscript"/>
              </w:rPr>
              <w:t>1</w:t>
            </w:r>
            <w:r>
              <w:rPr>
                <w:rStyle w:val="CharStyle20"/>
              </w:rPr>
              <w:t xml:space="preserve"> тыс. руб.</w:t>
            </w:r>
          </w:p>
        </w:tc>
      </w:tr>
      <w:tr>
        <w:trPr>
          <w:trHeight w:val="364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86" w:h="13474" w:wrap="around" w:vAnchor="page" w:hAnchor="page" w:x="1175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20"/>
              </w:rPr>
              <w:t>Ожидаемые результаты реализации 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numPr>
                <w:ilvl w:val="0"/>
                <w:numId w:val="9"/>
              </w:numPr>
              <w:framePr w:w="9586" w:h="13474" w:wrap="around" w:vAnchor="page" w:hAnchor="page" w:x="1175" w:y="869"/>
              <w:tabs>
                <w:tab w:leader="none" w:pos="3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98" w:lineRule="exact"/>
              <w:ind w:left="120" w:right="0" w:firstLine="0"/>
            </w:pPr>
            <w:r>
              <w:rPr>
                <w:rStyle w:val="CharStyle20"/>
              </w:rPr>
              <w:t>Повышение качества и надежности коммунальных услуг.</w:t>
            </w:r>
          </w:p>
          <w:p>
            <w:pPr>
              <w:pStyle w:val="Style12"/>
              <w:numPr>
                <w:ilvl w:val="0"/>
                <w:numId w:val="9"/>
              </w:numPr>
              <w:framePr w:w="9586" w:h="13474" w:wrap="around" w:vAnchor="page" w:hAnchor="page" w:x="1175" w:y="869"/>
              <w:tabs>
                <w:tab w:leader="non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98" w:lineRule="exact"/>
              <w:ind w:left="120" w:right="0" w:firstLine="0"/>
            </w:pPr>
            <w:r>
              <w:rPr>
                <w:rStyle w:val="CharStyle20"/>
              </w:rPr>
              <w:t>Снижение уровня износа объектов коммунальной инфраструктуры.</w:t>
            </w:r>
          </w:p>
          <w:p>
            <w:pPr>
              <w:pStyle w:val="Style12"/>
              <w:numPr>
                <w:ilvl w:val="0"/>
                <w:numId w:val="9"/>
              </w:numPr>
              <w:framePr w:w="9586" w:h="13474" w:wrap="around" w:vAnchor="page" w:hAnchor="page" w:x="1175" w:y="869"/>
              <w:tabs>
                <w:tab w:leader="none" w:pos="2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98" w:lineRule="exact"/>
              <w:ind w:left="0" w:right="0" w:firstLine="0"/>
            </w:pPr>
            <w:r>
              <w:rPr>
                <w:rStyle w:val="CharStyle20"/>
              </w:rPr>
              <w:t>Экономия топливно-энергетических ресурсов.</w:t>
            </w:r>
          </w:p>
          <w:p>
            <w:pPr>
              <w:pStyle w:val="Style12"/>
              <w:numPr>
                <w:ilvl w:val="0"/>
                <w:numId w:val="9"/>
              </w:numPr>
              <w:framePr w:w="9586" w:h="13474" w:wrap="around" w:vAnchor="page" w:hAnchor="page" w:x="1175" w:y="869"/>
              <w:tabs>
                <w:tab w:leader="none" w:pos="40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98" w:lineRule="exact"/>
              <w:ind w:left="120" w:right="0" w:firstLine="0"/>
            </w:pPr>
            <w:r>
              <w:rPr>
                <w:rStyle w:val="CharStyle20"/>
              </w:rPr>
              <w:t>Определение мероприятий, учитываемых при установлении тарифов на услуги предприятий коммунального комплекса и на подключение к системам коммунальной инфраструктуры.</w:t>
            </w:r>
          </w:p>
        </w:tc>
      </w:tr>
    </w:tbl>
    <w:p>
      <w:pPr>
        <w:pStyle w:val="Style21"/>
        <w:framePr w:w="6648" w:h="230" w:hRule="exact" w:wrap="around" w:vAnchor="page" w:hAnchor="page" w:x="1271" w:y="157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2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Стоимость мероприятия указана в целом на Терский муниципальный район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center"/>
        <w:spacing w:before="0" w:after="0" w:line="374" w:lineRule="exact"/>
        <w:ind w:left="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ПОСТАНОВЛЕНИЕ ПРАВИТЕЛЬСТВА РФ ОТ 14.06.2013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502 «ОБ УТВЕРЖДЕНИИ ТРЕБОВАНИЙ К ПРОГРАММАМ КОМПЛЕКСНОГО РАЗВИТИЯ СИСТЕМ КОММУНАЛЬНОЙ ИНФРАСТРУКТУРЫ ПОСЕЛЕНИЙ, ГОРОДСКИХ</w:t>
      </w:r>
      <w:bookmarkEnd w:id="3"/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center"/>
        <w:spacing w:before="0" w:after="364" w:line="3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ОКРУГОВ»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соответствии с пунктом 4.1 статьи 6 Градостроительного кодекса Российской Федерации Правительство Российской Федерации постановляет: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both"/>
        <w:spacing w:before="0" w:after="374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Утвердить прилагаемые требования к программам комплексного развития систем коммунальной инфраструктуры поселений, городских округов.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right"/>
        <w:spacing w:before="0" w:after="840" w:line="427" w:lineRule="exact"/>
        <w:ind w:left="588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Председатель Правительства Российской Федерации Д.МЕДВЕДЕВ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right"/>
        <w:spacing w:before="0" w:after="406" w:line="427" w:lineRule="exact"/>
        <w:ind w:left="558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Утверждены постановлением Правительства Российской Федерации от 14 июня 2013 г.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502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ТРЕБОВАНИЯ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ПРОГРАММАМ КОМПЛЕКСНОГО РАЗВИТИЯ СИСТЕМ</w:t>
      </w:r>
    </w:p>
    <w:p>
      <w:pPr>
        <w:pStyle w:val="Style12"/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КОММУНАЛЬНОЙ ИНФРАСТРУКТУРЫ ПОСЕЛЕНИЙ, ГОРОДСКИХ ОКРУГОВ</w:t>
      </w:r>
    </w:p>
    <w:p>
      <w:pPr>
        <w:pStyle w:val="Style12"/>
        <w:numPr>
          <w:ilvl w:val="0"/>
          <w:numId w:val="11"/>
        </w:numPr>
        <w:framePr w:w="9360" w:h="14553" w:hRule="exact" w:wrap="around" w:vAnchor="page" w:hAnchor="page" w:x="1288" w:y="117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Настоящие требования определяют содержание программ комплексного развития систем коммунальной инфраструктуры поселений, городских округов (далее - программы).</w:t>
      </w:r>
    </w:p>
    <w:p>
      <w:pPr>
        <w:pStyle w:val="Style12"/>
        <w:numPr>
          <w:ilvl w:val="0"/>
          <w:numId w:val="11"/>
        </w:numPr>
        <w:framePr w:w="9360" w:h="14553" w:hRule="exact" w:wrap="around" w:vAnchor="page" w:hAnchor="page" w:x="1288" w:y="1170"/>
        <w:tabs>
          <w:tab w:leader="none" w:pos="93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Программы разрабатываются органами местного самоуправления поселений, городских округов на основании генеральных планов поселений, городских округов и включают в себя мероприятия по строительству и реконструкции систем коммунальной инфраструктуры,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</w:t>
        <w:tab/>
        <w:t>соответствующими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14855" w:hRule="exact" w:wrap="around" w:vAnchor="page" w:hAnchor="page" w:x="1285" w:y="806"/>
        <w:tabs>
          <w:tab w:leader="none" w:pos="93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отходами.</w:t>
      </w:r>
    </w:p>
    <w:p>
      <w:pPr>
        <w:pStyle w:val="Style12"/>
        <w:numPr>
          <w:ilvl w:val="0"/>
          <w:numId w:val="11"/>
        </w:numPr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Программа разрабатывается на срок не менее 10 лет и не более чем на срок действия генерального плана поселения, городского округа. Мероприятия и целевые показатели, предусмотренные программой, должны быть указаны на первые 5 лет с разбивкой по годам, а на последующий период (до окончания срока действия программы) - без разбивки по годам. Если на момент разработки программы генеральный план реализуется менее 5 лет, программа разрабатывается на оставшийся срок действия генерального плана, при этом мероприятия и целевые показатели указываются с разбивкой по годам в течение первых 5 лет, а на последующий период (до окончания срока действия программы) - без разбивки по годам. Если на момент разработки программы срок реализации генерального плана составляет 5 лет и более, программа разрабатывается на оставшийся срок действия генерального плана, при этом мероприятия и целевые показатели указываются с разбивкой по годам.</w:t>
      </w:r>
    </w:p>
    <w:p>
      <w:pPr>
        <w:pStyle w:val="Style12"/>
        <w:numPr>
          <w:ilvl w:val="0"/>
          <w:numId w:val="11"/>
        </w:numPr>
        <w:framePr w:w="9365" w:h="14855" w:hRule="exact" w:wrap="around" w:vAnchor="page" w:hAnchor="page" w:x="1285" w:y="806"/>
        <w:tabs>
          <w:tab w:leader="none" w:pos="3922" w:val="center"/>
          <w:tab w:leader="none" w:pos="5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В случае если в содержание мероприятий, установленных схемой и программой развития единой национальной (общероссийской) электрической сети на долгосрочный период, генеральной схемой размещения объектов электроэнергетики,</w:t>
        <w:tab/>
        <w:t>федеральной</w:t>
        <w:tab/>
        <w:t>программой газификации,</w:t>
      </w:r>
    </w:p>
    <w:p>
      <w:pPr>
        <w:pStyle w:val="Style12"/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 вносятся изменения, соответствующие изменения должны вноситься и в программу.</w:t>
      </w:r>
    </w:p>
    <w:p>
      <w:pPr>
        <w:pStyle w:val="Style12"/>
        <w:numPr>
          <w:ilvl w:val="0"/>
          <w:numId w:val="11"/>
        </w:numPr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При разработке программы необходимо:</w:t>
      </w:r>
    </w:p>
    <w:p>
      <w:pPr>
        <w:pStyle w:val="Style12"/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а) учитывать показатели перспективной обеспеченности и потребности застройки поселения, городского округа на основании выданных разрешений на строительство объектов капитального строительства, технических условий на подключение (технологическое присоединение) объектов капитального строительства к системам коммунальной инфраструктуры, планируемых сроков реализации застройки в соответствии с генеральным планом поселения и генеральным планом городского округа;</w:t>
      </w:r>
    </w:p>
    <w:p>
      <w:pPr>
        <w:pStyle w:val="Style12"/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б) учитывать показатели надежности функционирования каждой системы коммунальной инфраструктуры, перспективы их развития, а также показатели качества коммунальных ресурсов;</w:t>
      </w:r>
    </w:p>
    <w:p>
      <w:pPr>
        <w:pStyle w:val="Style12"/>
        <w:framePr w:w="9365" w:h="14855" w:hRule="exact" w:wrap="around" w:vAnchor="page" w:hAnchor="page" w:x="1285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в) определять мероприятия, направленные на качественное и бесперебойное обеспечение электро-, газо-, тепло-, водоснабжения и водоотведения новых объектов капитального строительства;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г) определять мероприятия по улучшению качества услуг организаций, эксплуатирующих объекты, используемые для утилизации, обезвреживания и захоронения твердых бытовых отходов, в целях обеспечения потребности новых объектов капитального строительства в этих услугах;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д) определять мероприятия, направленные на повышение надежности газо-, электро-, тепло-, водоснабжения и водоотведения и качества коммунальных ресурсов;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е) определять мероприятия, направленные на повышение энергетической эффективности и технического уровня объектов, входящих в состав систем электро-, газо-, тепло-, водоснабжения и водоотведения, и объектов, используемых для утилизации, обезвреживания и захоронения твердых бытовых отходов;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ж) определять мероприятия, направленные на улучшение экологической ситуации на территории поселения, городского округа, с учетом достижения организациями, осуществляющими электро-, газо-, тепло-, водоснабжение и водоотведение, и организациями, оказывающими услуги по утилизации, обезвреживанию и захоронению твердых бытовых отходов, нормативов допустимого воздействия на окружающую среду;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з) учитывать мероприятия, предусмотренные программой в области энергосбережения и повышения энергетической эффективности поселения, городского округа;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и) учитывать прогноз роста тарифов на ресурсы, продукцию и услуги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 (далее - тарифы), исходя из долгосрочных параметров государственного регулирования цен (тарифов) и долгосрочных параметров развития экономики с учетом реализации мероприятий, предусмотренных программой;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к) учитывать действующие тарифы, утвержденные уполномоченными органами;</w:t>
      </w:r>
    </w:p>
    <w:p>
      <w:pPr>
        <w:pStyle w:val="Style12"/>
        <w:framePr w:w="9370" w:h="14972" w:hRule="exact" w:wrap="around" w:vAnchor="page" w:hAnchor="page" w:x="128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л) проводить в установленном порядке оценку доступности для абонентов и потребителей платы за коммунальные услуги, в том числе оценку совокупного платежа граждан за коммунальные услуги, с учетом затрат на реализацию программы на соответствие критериям доступности.</w:t>
      </w:r>
    </w:p>
    <w:p>
      <w:pPr>
        <w:pStyle w:val="Style12"/>
        <w:numPr>
          <w:ilvl w:val="0"/>
          <w:numId w:val="11"/>
        </w:numPr>
        <w:framePr w:w="9370" w:h="14972" w:hRule="exact" w:wrap="around" w:vAnchor="page" w:hAnchor="page" w:x="1283" w:y="804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случае если у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отходов, имеются подготовленные бизнес-планы или укрупненные инвестиционные проекты, которые не были включены в схемы и программы развития единой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15103" w:hRule="exact" w:wrap="around" w:vAnchor="page" w:hAnchor="page" w:x="1285" w:y="809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национальной (общероссийской) электрической сети на долгосрочный период, генеральную схему размещения объектов электроэнергетики, федеральную программу газификации, 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обезвреживанию и захоронению твердых бытовых отходов, программы в области энергосбережения и повышения энергетической эффективности, то при утверждении программы указанные инвестиционные проекты утверждаются в составе программы после внесения в установленном порядке соответствующих изменений в схемы и программы развития единой национальной (общероссийской) электрической сети на долгосрочный период, генеральную схему размещения объектов электроэнергетики, федеральную программу газификации, 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обезвреживанию и захоронению твердых бытовых отходов, программы в области энергосбережения и повышения энергетической эффективности.</w:t>
      </w:r>
    </w:p>
    <w:p>
      <w:pPr>
        <w:pStyle w:val="Style12"/>
        <w:numPr>
          <w:ilvl w:val="0"/>
          <w:numId w:val="11"/>
        </w:numPr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В случае принятия в соответствии с законодательством Российской Федерации представительным органом местного самоуправления сельского поселения решения об отсутствии необходимости подготовки его генерального плана программа в отношении такого сельского поселения не разрабатывается.</w:t>
      </w:r>
    </w:p>
    <w:p>
      <w:pPr>
        <w:pStyle w:val="Style12"/>
        <w:numPr>
          <w:ilvl w:val="0"/>
          <w:numId w:val="11"/>
        </w:numPr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28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Программа должна включать в себя: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а) паспорт, который содержит сведения по перечню согласно приложению;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б) характеристику существующего состояния систем коммунальной инфраструктуры (в форме текста);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в) план развития поселения, городского округа, план прогнозируемой застройки и прогнозируемый спрос на коммунальные ресурсы на период действия генерального плана;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г) перечень мероприятий и целевых показателей, указанных в пункте 5 настоящих требований;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д)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мероприятий, предусмотренных программой;</w:t>
      </w:r>
    </w:p>
    <w:p>
      <w:pPr>
        <w:pStyle w:val="Style12"/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е) обосновывающие материалы.</w:t>
      </w:r>
    </w:p>
    <w:p>
      <w:pPr>
        <w:pStyle w:val="Style12"/>
        <w:numPr>
          <w:ilvl w:val="0"/>
          <w:numId w:val="11"/>
        </w:numPr>
        <w:framePr w:w="9365" w:h="15103" w:hRule="exact" w:wrap="around" w:vAnchor="page" w:hAnchor="page" w:x="1285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Обосновывающие материалы должны включать в себя:</w:t>
      </w:r>
    </w:p>
    <w:p>
      <w:pPr>
        <w:pStyle w:val="Style12"/>
        <w:framePr w:w="9365" w:h="15103" w:hRule="exact" w:wrap="around" w:vAnchor="page" w:hAnchor="page" w:x="1285" w:y="80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а)</w:t>
        <w:tab/>
        <w:t>обоснование прогнозируемого спроса на коммунальные ресурсы;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б) обоснование целевых показателей комплексного развития коммунальной инфраструктуры, а также мероприятий, входящих в план застройки поселения, городского округа;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в) характеристику состояния и проблем соответствующей системы коммунальной инфраструктуры;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г) оценку реализации мероприятий в области энерго-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д) обоснование целевых показателей развития соответствующей системы коммунальной инфраструктуры;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е) перечень инвестиционных проектов в отношении соответствующей системы коммунальной инфраструктуры (со ссылками на схемы и программы развития единой национальной (общероссийской) электрической сети на долгосрочный период, генеральную схему размещения объектов электроэнергетики, федеральную программу газификации, 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обезвреживанию и захоронению твердых бытовых отходов, программы в области энергосбережения и повышения энергетической эффективности, инвестиционные программы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отходов) (далее - инвестиционные проекты);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ж) предложения по организации реализации инвестиционных проектов;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з) обоснование использования в качестве источников финансирования 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и) результаты оценки совокупного платежа граждан за коммунальные услуги на соответствие критериям доступности;</w:t>
      </w:r>
    </w:p>
    <w:p>
      <w:pPr>
        <w:pStyle w:val="Style12"/>
        <w:framePr w:w="9360" w:h="13118" w:hRule="exact" w:wrap="around" w:vAnchor="page" w:hAnchor="page" w:x="1288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к) прогнозируемые расходы бюджетов всех уровней на оказание мер социальной поддержки, в том числе предоставление отдельным категориям граждан субсидий на оплату жилого помещения и коммунальных услуг.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right"/>
        <w:spacing w:before="0" w:after="510" w:line="427" w:lineRule="exact"/>
        <w:ind w:left="55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Приложение к требованиям к программам комплексного развития систем коммунальной инфраструктуры поселений, городских округов</w:t>
      </w: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center"/>
        <w:spacing w:before="0" w:after="2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</w:t>
      </w: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right"/>
        <w:spacing w:before="0" w:after="0" w:line="370" w:lineRule="exact"/>
        <w:ind w:left="720" w:right="78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СВЕДЕНИЙ, СОДЕРЖАЩИХСЯ В ПАСПОРТЕ ПРОГРАММЫ КОМПЛЕКСНОГО РАЗВИТИЯ СИСТЕМЫ КОММУНАЛЬНОЙ ИНФРАСТРУКТУРЫ ПОСЕЛЕНИЯ, ГОРОДСКОГО ОКРУГА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Ответственный исполнитель программы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Соисполнители программы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Цели программы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Задачи программы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Целевые показатели:</w:t>
      </w: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перспективной обеспеченности и потребности застройки поселения, городского округа;</w:t>
      </w: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надежности, энергоэффективности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отходов;</w:t>
      </w:r>
    </w:p>
    <w:p>
      <w:pPr>
        <w:pStyle w:val="Style12"/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качества коммунальных ресурсов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Срок и этапы реализации программы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Объемы требуемых капитальных вложений</w:t>
      </w:r>
    </w:p>
    <w:p>
      <w:pPr>
        <w:pStyle w:val="Style12"/>
        <w:numPr>
          <w:ilvl w:val="0"/>
          <w:numId w:val="13"/>
        </w:numPr>
        <w:framePr w:w="9355" w:h="10085" w:hRule="exact" w:wrap="around" w:vAnchor="page" w:hAnchor="page" w:x="1290" w:y="1295"/>
        <w:widowControl w:val="0"/>
        <w:keepNext w:val="0"/>
        <w:keepLines w:val="0"/>
        <w:shd w:val="clear" w:color="auto" w:fill="auto"/>
        <w:bidi w:val="0"/>
        <w:jc w:val="both"/>
        <w:spacing w:before="0" w:after="0" w:line="427" w:lineRule="exact"/>
        <w:ind w:left="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Ожидаемые результаты реализации программы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spacing w:before="0" w:after="323" w:line="240" w:lineRule="exact"/>
        <w:ind w:left="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ВВЕДЕНИЕ</w:t>
      </w:r>
      <w:bookmarkEnd w:id="4"/>
    </w:p>
    <w:p>
      <w:pPr>
        <w:pStyle w:val="Style12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bookmarkStart w:id="5" w:name="bookmark5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комплексного развития систем коммунальной инфраструктуры поселения - это документ, устанавливающий перечень мероприятий по проектированию, строительству, реконструкции систем электро-, газо-, тепло-, водоснабжения и водоотведения, объектов, используемых для утилизации, обезвреживания и захоронения твердых коммунальных отходов,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отходами.</w:t>
      </w:r>
      <w:bookmarkEnd w:id="5"/>
    </w:p>
    <w:p>
      <w:pPr>
        <w:pStyle w:val="Style12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jc w:val="both"/>
        <w:spacing w:before="0" w:after="48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комплексного развития систем коммунальной инфраструктуры поселения разрабатывается на основании генерального плана поселения и должна обеспечить сбалансированное,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надежность, энергетическую эффективность указанных систем, снижение негативного воздействия на окружающую среду и здоровье человека и повышение качества поставляемых для потребителей товаров, оказываемых услуг в сферах электро-, газо-, тепло-, водоснабжения и водоотведения, а также услуг по утилизации, обезвреживанию и захоронению твердых коммунальных отходов.</w:t>
      </w:r>
    </w:p>
    <w:p>
      <w:pPr>
        <w:pStyle w:val="Style12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Нормативно-правовой основой для разработки и реализации программы комплексного развития систем коммунальной инфраструктуры сельского поселения Тамбовское Терского муниципального района Кабардино-Балкарской Республики являются:</w:t>
      </w:r>
    </w:p>
    <w:p>
      <w:pPr>
        <w:pStyle w:val="Style12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jc w:val="right"/>
        <w:spacing w:before="0" w:after="0" w:line="403" w:lineRule="exact"/>
        <w:ind w:left="0" w:right="2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«Градостроительный кодекс Российской Федерации» от</w:t>
      </w:r>
    </w:p>
    <w:p>
      <w:pPr>
        <w:pStyle w:val="Style12"/>
        <w:numPr>
          <w:ilvl w:val="0"/>
          <w:numId w:val="15"/>
        </w:numPr>
        <w:framePr w:w="9365" w:h="13665" w:hRule="exact" w:wrap="around" w:vAnchor="page" w:hAnchor="page" w:x="1274" w:y="1244"/>
        <w:tabs>
          <w:tab w:leader="none" w:pos="1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№ 190-ФЗ;</w:t>
      </w:r>
    </w:p>
    <w:p>
      <w:pPr>
        <w:pStyle w:val="Style12"/>
        <w:framePr w:w="9365" w:h="13665" w:hRule="exact" w:wrap="around" w:vAnchor="page" w:hAnchor="page" w:x="1274" w:y="1244"/>
        <w:widowControl w:val="0"/>
        <w:keepNext w:val="0"/>
        <w:keepLines w:val="0"/>
        <w:shd w:val="clear" w:color="auto" w:fill="auto"/>
        <w:bidi w:val="0"/>
        <w:jc w:val="right"/>
        <w:spacing w:before="0" w:after="0" w:line="403" w:lineRule="exact"/>
        <w:ind w:left="0" w:right="2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Постановление Правительства РФ от 14.06.2013 № 502 «Об утверждении требований к программам комплексного развития систем коммунальной инфраструктуры поселений, городских округов».</w:t>
      </w:r>
    </w:p>
    <w:p>
      <w:pPr>
        <w:pStyle w:val="Style26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left"/>
        <w:spacing w:before="0" w:after="26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Технической базой разработки являются: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Генеральный план сельского поселения Тамбовское Терского муниципального района Кабардино-Балкарской Республики, утвержденный Решением Совета местного самоуправления сельского поселения Тамбовское Терского муниципального района Кабардино-Балкарской Республики от</w:t>
      </w:r>
    </w:p>
    <w:p>
      <w:pPr>
        <w:pStyle w:val="Style12"/>
        <w:numPr>
          <w:ilvl w:val="0"/>
          <w:numId w:val="17"/>
        </w:numPr>
        <w:framePr w:w="9360" w:h="15081" w:hRule="exact" w:wrap="around" w:vAnchor="page" w:hAnchor="page" w:x="1277" w:y="792"/>
        <w:tabs>
          <w:tab w:leader="none" w:pos="1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года №10/1;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территориального планирования Терского муниципального района Кабардино-Балкарской Республики, разработанная в соответствии с гос. контрактом от 15.09.2008 г. №37;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 инвестиционной программы ПАО «МРСК Северного Кавказа», утвержденный Приказом Минэнерго России от 25.12.2015 года №1035 (с изменениями в Приказе №24 от 20.12.2018 года);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и программа перспективного развития электроэнергетики в Кабардино-Балкарской Республике на 2019-2023 годы, утвержденная Указом Главы Кабардино-Балкарской Республики от 25.04.2018 года №47- УГ;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Комплексная программа развития электрических сетей напряжением 35 кВ и выше на территории Кабардино-Балкарской Республики в горизонте планирования с 2018 по 2022 годы, утвержденная Приказом ПАО «Россети» от 19.02.2018 года №89;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газификации жилищно-коммунального хозяйства, промышленных и иных организаций Кабардино-Балкарской Республики на 2018-2022 годы, утвержденная распоряжением Правительства Кабардино</w:t>
        <w:softHyphen/>
        <w:t>Балкарской Республики от 28.11.2017 года №694-рп;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Территориальная схема обращения с отходами, в том числе с твердыми коммунальными отходами, в Кабардино-Балкарской Республике, утвержденная Постановлением Правительства Кабардино-Балкарской Республики от 27.10.2016 года №196-ПП (в редакции Постановления Правительства КБР от 05.09.2017 года №161-ПП);</w:t>
      </w:r>
    </w:p>
    <w:p>
      <w:pPr>
        <w:pStyle w:val="Style12"/>
        <w:framePr w:w="9360" w:h="15081" w:hRule="exact" w:wrap="around" w:vAnchor="page" w:hAnchor="page" w:x="1277" w:y="79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88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Государственная программа Кабардино-Балкарской Республики «Энергоэффективность и развитие энергетики в Кабардино-Балкарской Республике» на 2013-2020 годы, утвержденная Постановлением Правительства Кабардино-Балкарской Республики от 27.11.2013 года №310-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1111 (в редакции Постановлений Правительства КБР от 03.06.2014 года№117- ПП, от 24.03.2015 года №64-ПП);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Концепция развития жилищно-коммунального комплекса Кабардино-Балкарской Республики до 2020 года;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Государственная программа Кабардино-Балкарской Республики «Обеспечение жильем и коммунальными услугами населения Кабардино- Балкарской Республики», утвержденная постановлением Правительства Кабардино-Балкарской Республики от 8 мая 2018 г. № 90-ПП (в редакции Постановления Правительства КБР от 31.01.2019 года №8-ПП);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Программа «Проведение капитального ремонта общего имущества многоквартирных домов в Кабардино-Балкарской Республике в 2014-2043 годах», в Терском районе, утвержденная Постановлением Правительства КБР от 25.03.2014 года №42-ПП (в редакции Постановления Правительства КБР от 18.12.2017 года №220-ПП);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Муниципальная программа «Энергосбережение и повышение энергетической эффективности Терского муниципального района на 2017 - 2021 годы», утвержденная Постановлением Местной администрации Терского муниципального района Кабардино-Балкарской Республики от</w:t>
      </w:r>
    </w:p>
    <w:p>
      <w:pPr>
        <w:pStyle w:val="Style12"/>
        <w:numPr>
          <w:ilvl w:val="0"/>
          <w:numId w:val="19"/>
        </w:numPr>
        <w:framePr w:w="9370" w:h="15090" w:hRule="exact" w:wrap="around" w:vAnchor="page" w:hAnchor="page" w:x="1272" w:y="778"/>
        <w:tabs>
          <w:tab w:leader="none" w:pos="14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года №95-п;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План мероприятий «Дорожная карта» по обеспечению централизованной системой водоснабжения населенных пунктов Терского муниципального района КБР на 2019-2023 годы, утвержденный Постановлением Местной Администрации Терского муниципального района Кабардино-Балкарской Республики от 18.12.2018 года №575-п;</w:t>
      </w:r>
    </w:p>
    <w:p>
      <w:pPr>
        <w:pStyle w:val="Style12"/>
        <w:framePr w:w="9370" w:h="15090" w:hRule="exact" w:wrap="around" w:vAnchor="page" w:hAnchor="page" w:x="1272" w:y="778"/>
        <w:tabs>
          <w:tab w:leader="none" w:pos="1318" w:val="left"/>
          <w:tab w:leader="none" w:pos="4721" w:val="left"/>
          <w:tab w:leader="none" w:pos="93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</w:t>
        <w:tab/>
        <w:t>Схема водоснабжения и</w:t>
        <w:tab/>
        <w:t>водоотведения сельского</w:t>
        <w:tab/>
        <w:t>поселения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Тамбовское Терского муниципального района Кабардино-Балкарской Республики;</w:t>
      </w:r>
    </w:p>
    <w:p>
      <w:pPr>
        <w:pStyle w:val="Style12"/>
        <w:framePr w:w="9370" w:h="15090" w:hRule="exact" w:wrap="around" w:vAnchor="page" w:hAnchor="page" w:x="1272" w:y="778"/>
        <w:tabs>
          <w:tab w:leader="none" w:pos="1318" w:val="left"/>
          <w:tab w:leader="none" w:pos="46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</w:t>
        <w:tab/>
        <w:t>Схема теплоснабжения</w:t>
        <w:tab/>
        <w:t>сельского поселения Тамбовское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Терского муниципального района Кабардино-Балкарской Республики;</w:t>
      </w:r>
    </w:p>
    <w:p>
      <w:pPr>
        <w:pStyle w:val="Style12"/>
        <w:framePr w:w="9370" w:h="15090" w:hRule="exact" w:wrap="around" w:vAnchor="page" w:hAnchor="page" w:x="1272" w:y="778"/>
        <w:tabs>
          <w:tab w:leader="none" w:pos="1318" w:val="left"/>
          <w:tab w:leader="none" w:pos="93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</w:t>
        <w:tab/>
        <w:t>Государственная программа Российской Федерации</w:t>
        <w:tab/>
        <w:t>«Развитие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Северо-Кавказского Федерального округа на период до 2025 года», утвержденной постановлением правительства Российской Федерации от 15 апреля 2014 года №309 (в редакции, утвержденной постановлением правительства РФ от 27 февраля 2016 года №148);</w:t>
      </w:r>
    </w:p>
    <w:p>
      <w:pPr>
        <w:pStyle w:val="Style12"/>
        <w:framePr w:w="9370" w:h="15090" w:hRule="exact" w:wrap="around" w:vAnchor="page" w:hAnchor="page" w:x="1272" w:y="778"/>
        <w:tabs>
          <w:tab w:leader="none" w:pos="1318" w:val="left"/>
          <w:tab w:leader="none" w:pos="4681" w:val="left"/>
          <w:tab w:leader="none" w:pos="933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</w:t>
        <w:tab/>
        <w:t>Прогноз долгосрочного</w:t>
        <w:tab/>
        <w:t>социально-экономического</w:t>
        <w:tab/>
        <w:t>развития</w:t>
      </w:r>
    </w:p>
    <w:p>
      <w:pPr>
        <w:pStyle w:val="Style12"/>
        <w:framePr w:w="9370" w:h="15090" w:hRule="exact" w:wrap="around" w:vAnchor="page" w:hAnchor="page" w:x="1272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Российской Федерации на период до 2030 года;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Статистические данные Федеральной службы государственной статистики (Росстат);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Статистические данные Территориального органа Федеральной службы государственной статистики по Кабардино-Балкарской Республике;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42.13330.2011. Свод правил. Г радостроительство. Планировка и застройка городских и сельских поселений. Актуализированная редакция СНиП 2.07.01-89*, утвержденные Приказом Минрегиона РФ от 28.12.2010 № 820;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42-101-2003. Свод правил по проектированию и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строительству. Общие положения по проектированию и строительству газораспределительных систем из металлических и полиэтиленовых труб, одобренные Постановлением Госстроя РФ от 26.06.2003 № 112;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41-104-2000. Проектирование автономных источников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теплоснабжения, утвержденные Постановлением Госстроя РФ от 16.08.2000 № 79;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124.13330.2012. Свод правил. Тепловые сети.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Актуализированная редакция СНиП 41-02-2003, утвержденные Приказом Минрегиона России от 30.06.2012 № 280;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31.13330.2012. Свод правил. Водоснабжение. Наружные сети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 сооружения. Актуализированная редакция СНиП 2.04.02-84*, утвержденные Приказом Минрегиона России от 29.12.2011 № 635/14;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32.13330.2012. Свод правил. Канализация. Наружные сети и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сооружения. Актуализированная редакция СНиП 2.04.03-85, утвержденные Приказом Минрегиона России от 29.12.2011 № 635/11;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 131.13330.2012. Свод правил. Строительная климатология.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Актуализированная редакция СНиП 23-01-99*, утвержденные Приказом Минрегиона России от 30.06.2012 № 275;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Методические указания по расчету предельных индексов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4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изменения</w:t>
        <w:tab/>
        <w:t>размера платы граждан за коммунальные услуги, утвержденные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Приказом Минрегиона РФ от 23.08.2010 № 378;</w:t>
      </w:r>
    </w:p>
    <w:p>
      <w:pPr>
        <w:pStyle w:val="Style12"/>
        <w:framePr w:w="9365" w:h="14338" w:hRule="exact" w:wrap="around" w:vAnchor="page" w:hAnchor="page" w:x="1274" w:y="787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Правила предоставления субсидий на оплату жилого помещения</w:t>
      </w:r>
    </w:p>
    <w:p>
      <w:pPr>
        <w:pStyle w:val="Style12"/>
        <w:framePr w:w="9365" w:h="14338" w:hRule="exact" w:wrap="around" w:vAnchor="page" w:hAnchor="page" w:x="1274" w:y="7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 коммунальных услуг, утвержденные Постановлением Правительства РФ от</w:t>
      </w:r>
    </w:p>
    <w:p>
      <w:pPr>
        <w:pStyle w:val="Style12"/>
        <w:numPr>
          <w:ilvl w:val="0"/>
          <w:numId w:val="21"/>
        </w:numPr>
        <w:framePr w:w="9365" w:h="14338" w:hRule="exact" w:wrap="around" w:vAnchor="page" w:hAnchor="page" w:x="1274" w:y="787"/>
        <w:tabs>
          <w:tab w:leader="none" w:pos="14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№ 761 «О предоставлении субсидий на оплату жилого помещения и коммунальных услуг».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42" w:line="240" w:lineRule="exact"/>
        <w:ind w:left="20" w:right="0" w:firstLine="0"/>
      </w:pPr>
      <w:bookmarkStart w:id="6" w:name="bookmark6"/>
      <w:r>
        <w:rPr>
          <w:rStyle w:val="CharStyle28"/>
        </w:rPr>
        <w:t>Краткая характеристика муниципального образования</w:t>
      </w:r>
      <w:bookmarkEnd w:id="6"/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Сельское поселение Тамбовское (далее - СП Тамбовское) является одним из семнадцати муниципальных образований Терского муниципального района Кабардино-Балкарской Республики.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состав сельского поселения Тамбовское входят 2 (два) населенных пункта: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156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село Нижний Акбаш,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28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село Тамбовское.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Административный центр, представительный орган и иные органы местного самоуправления сельского поселения расположены в селе Тамбовское.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Численность населения (на 01.01.2018 год) - 1852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чел. (3,65% от численности населения района).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524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Темп роста численности населения (2018 г. по отношению к 2010 г.) - 98,87 % (убыль).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33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Территория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Сельское поселение Тамбовское расположено в центральной части Терского района.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Село Тамбовское расположено на наклонной Кабардинской равнине, в переходной от предгорной в равнинную зону Республики. Сельское поселение находится в 8 км к северо-востоку от районного центра - город Терек, и в 64 км к северо-востоку от республиканского центра - городского округа Нальчик.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Село Нижний Акбаш расположено в центральной части района, на наклонной Кабардинской равнине, в переходной от предгорной в равнинную зону Республики, в 12 км к северо-востоку от районного центра - город Терек, в 67 км к востоку от республиканского центра.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Земли сельского поселения Тамбовское граничат: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на юге - с землями сельского поселения Верхний Акбаш;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на юго-западе - с землями сельского поселения Дейское;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на северо-западе - с землями сельского поселения Арик;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на востоке - с землями сельского поселения Инаркой.</w:t>
      </w:r>
    </w:p>
    <w:p>
      <w:pPr>
        <w:pStyle w:val="Style12"/>
        <w:framePr w:w="9370" w:h="14182" w:hRule="exact" w:wrap="around" w:vAnchor="page" w:hAnchor="page" w:x="1272" w:y="89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Муниципальное образование Тамбовское наделено статусом сельского поселения Законом Кабардино-Балкарской Республики от 27.02.2005 №13-РЗ</w:t>
      </w:r>
    </w:p>
    <w:p>
      <w:pPr>
        <w:pStyle w:val="Style21"/>
        <w:framePr w:w="9403" w:h="519" w:hRule="exact" w:wrap="around" w:vAnchor="page" w:hAnchor="page" w:x="1253" w:y="15503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2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2</w:t>
      </w:r>
      <w:r>
        <w:rPr>
          <w:lang w:val="ru-RU" w:eastAsia="ru-RU" w:bidi="ru-RU"/>
          <w:w w:val="100"/>
          <w:color w:val="000000"/>
          <w:position w:val="0"/>
        </w:rPr>
        <w:t xml:space="preserve"> Численность населения Российской Федерации по муниципальным образованиям на 1 января 2018 г. по данным Федеральной службы государственной статистики (таблица 26)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0" w:h="1570" w:hRule="exact" w:wrap="around" w:vAnchor="page" w:hAnchor="page" w:x="1277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«О статусе и границах муниципальных образований в Кабардино-Балкарской Республике».</w:t>
      </w:r>
    </w:p>
    <w:p>
      <w:pPr>
        <w:pStyle w:val="Style12"/>
        <w:framePr w:w="9360" w:h="1570" w:hRule="exact" w:wrap="around" w:vAnchor="page" w:hAnchor="page" w:x="1277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сельского поселения составляет 45,93 кв. км или 5,14% от площади Терского района.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23"/>
        </w:numPr>
        <w:framePr w:w="9365" w:h="13692" w:hRule="exact" w:wrap="around" w:vAnchor="page" w:hAnchor="page" w:x="1276" w:y="1129"/>
        <w:tabs>
          <w:tab w:leader="none" w:pos="8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2" w:line="384" w:lineRule="exact"/>
        <w:ind w:left="2140" w:right="520"/>
      </w:pPr>
      <w:bookmarkStart w:id="7" w:name="bookmark7"/>
      <w:bookmarkStart w:id="8" w:name="bookmark8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ХАРАКТЕРИСТИКА СУЩЕСТВУЮЩЕГО СОСТОЯНИЯ СИСТЕМ КОММУНАЛЬНОЙ ИНФРАСТРУКТУРЫ</w:t>
      </w:r>
      <w:bookmarkEnd w:id="7"/>
      <w:bookmarkEnd w:id="8"/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Согласно Градостроительному кодексу РФ, система коммунальной инфраструктуры это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строительства, а также объекты, используемые для утилизации, обезвреживания и захоронения твердых коммунальных отходов.</w:t>
      </w:r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Коммунальная инфраструктура сельского поселения Тамбовское представлена следующими системами:</w:t>
      </w:r>
    </w:p>
    <w:p>
      <w:pPr>
        <w:pStyle w:val="Style12"/>
        <w:framePr w:w="9365" w:h="13692" w:hRule="exact" w:wrap="around" w:vAnchor="page" w:hAnchor="page" w:x="1276" w:y="1129"/>
        <w:tabs>
          <w:tab w:leader="none" w:pos="471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электроснабжения;</w:t>
      </w:r>
    </w:p>
    <w:p>
      <w:pPr>
        <w:pStyle w:val="Style12"/>
        <w:framePr w:w="9365" w:h="13692" w:hRule="exact" w:wrap="around" w:vAnchor="page" w:hAnchor="page" w:x="1276" w:y="1129"/>
        <w:tabs>
          <w:tab w:leader="none" w:pos="430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газоснабжения;</w:t>
      </w:r>
    </w:p>
    <w:p>
      <w:pPr>
        <w:pStyle w:val="Style12"/>
        <w:framePr w:w="9365" w:h="13692" w:hRule="exact" w:wrap="around" w:vAnchor="page" w:hAnchor="page" w:x="1276" w:y="1129"/>
        <w:tabs>
          <w:tab w:leader="none" w:pos="44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теплоснабжения;</w:t>
      </w:r>
    </w:p>
    <w:p>
      <w:pPr>
        <w:pStyle w:val="Style12"/>
        <w:framePr w:w="9365" w:h="13692" w:hRule="exact" w:wrap="around" w:vAnchor="page" w:hAnchor="page" w:x="1276" w:y="1129"/>
        <w:tabs>
          <w:tab w:leader="none" w:pos="430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водоснабжения.</w:t>
      </w:r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Системы водоотведения, а также утилизации, обезвреживания и захоронения твердых коммунальных отходов на момент разработки настоящей Программы на территории сельского поселения отсутствуют.</w:t>
      </w:r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связи с отсутствием развития системы теплоснабжения, а также отсутствием систем горячего водоснабжения и водоотведения в сельском поселении Тамбовское, в настоящей Программе, система теплоснабжения и система горячего водоснабжения в дальнейшем не рассматривается, определение прогнозируемого спроса на тепловую энергию и горячее водоснабжение, а также описание целевых показателей развития системы теплоснабжения и системы горячего водоснабжения не производится.</w:t>
      </w:r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предлагается создание централизованной системы водоотведения на территории сельского поселения Тамбовское к 2035 году, определение прогнозируемого спроса на сточные бытовые воды, а также описание целевых показателей развития системы водоотведения будет произведен с 2025 года.</w:t>
      </w:r>
    </w:p>
    <w:p>
      <w:pPr>
        <w:pStyle w:val="Style12"/>
        <w:framePr w:w="9365" w:h="13692" w:hRule="exact" w:wrap="around" w:vAnchor="page" w:hAnchor="page" w:x="1276" w:y="11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Ниже дана краткая характеристика систем коммунальной инфраструктуры, присутствующих на территории сельского поселения.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23"/>
        </w:numPr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left"/>
        <w:spacing w:before="0" w:after="33" w:line="240" w:lineRule="exact"/>
        <w:ind w:left="20" w:right="0" w:firstLine="0"/>
      </w:pPr>
      <w:bookmarkStart w:id="10" w:name="bookmark10"/>
      <w:bookmarkStart w:id="9" w:name="bookmark9"/>
      <w:r>
        <w:rPr>
          <w:rStyle w:val="CharStyle31"/>
        </w:rPr>
        <w:t xml:space="preserve"> Краткая характеристика системы электроснабжения</w:t>
      </w:r>
      <w:bookmarkEnd w:id="10"/>
      <w:bookmarkEnd w:id="9"/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Электроснабжение сельского поселения Тамбовское осуществляется от энергосистемы ПАО «МРСК Северного Кавказа» - филиал АО «Каббалкэнерго» (Производственный участок - Терские районные электрические сети).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Электроснабжение потребителей сельского поселения осуществляется от ПС 110/35/10 кВ «В. Акбаш».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Электроснабжение потребителей осуществляется по сетям напряжением 0,4 кВ.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Прокладка электросетей воздушная. Для понижения напряжения до 0,4 кВ построены и установлены ТП различной мощности. Питание потребителей осуществляется от 3 (трех) трансформаторных подстанций.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построения сетей - радиально-кольцевая, разомкнутая в нормальном режиме.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сетей линии электропередачи по Базе данных по мун</w:t>
      </w:r>
      <w:r>
        <w:rPr>
          <w:rStyle w:val="CharStyle28"/>
        </w:rPr>
        <w:t>ици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пальным образованиям Кабардино-Балкарской Республики, Управления Федеральной службы государственной статистики по Северо</w:t>
        <w:softHyphen/>
        <w:t>Кавказскому Федеральному округу составляет -20,550 км.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528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энергетического оборудования ПС и энергетических сетей составляет - 70%.</w:t>
      </w:r>
    </w:p>
    <w:p>
      <w:pPr>
        <w:pStyle w:val="Style29"/>
        <w:numPr>
          <w:ilvl w:val="1"/>
          <w:numId w:val="23"/>
        </w:numPr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left"/>
        <w:spacing w:before="0" w:after="37" w:line="240" w:lineRule="exact"/>
        <w:ind w:left="20" w:right="0" w:firstLine="0"/>
      </w:pPr>
      <w:bookmarkStart w:id="11" w:name="bookmark11"/>
      <w:bookmarkStart w:id="12" w:name="bookmark12"/>
      <w:r>
        <w:rPr>
          <w:rStyle w:val="CharStyle31"/>
        </w:rPr>
        <w:t xml:space="preserve"> Краткая характеристика системы газоснабжения</w:t>
      </w:r>
      <w:bookmarkEnd w:id="11"/>
      <w:bookmarkEnd w:id="12"/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Газоснабжение сельского поселения Тамбовское осуществляет общество с ограниченной ответственностью «Газпром межрегионгаз Пятигорск».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Организацией, эксплуатирующей объекты газоснабжения, является - Филиал АО «Газпром газораспределение Нальчик» в Терском районе.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газоснабжения сельского поселения Тамбовское запитана через систему магистрального газопровода «Ставрополь - Грозный», на газораспределительную станцию ГРС «Дейское».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37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газопроводов - кольцевая. Износ сетей составляет - 30%.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сетей газоснабжения в сельском поселении составляет - 24032,5 м, в том числе: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left"/>
        <w:spacing w:before="0" w:after="156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сетей высокого давления - 4564,0 м;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left"/>
        <w:spacing w:before="0" w:after="33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сетей низкого давления - 19468,5 м.</w:t>
      </w:r>
    </w:p>
    <w:p>
      <w:pPr>
        <w:pStyle w:val="Style12"/>
        <w:framePr w:w="9370" w:h="14733" w:hRule="exact" w:wrap="around" w:vAnchor="page" w:hAnchor="page" w:x="1273" w:y="90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 потребителем газа в сельском поселении Тамбовское является население.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23"/>
        </w:numPr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left"/>
        <w:spacing w:before="0" w:after="33" w:line="240" w:lineRule="exact"/>
        <w:ind w:left="20" w:right="0" w:firstLine="0"/>
      </w:pPr>
      <w:bookmarkStart w:id="13" w:name="bookmark13"/>
      <w:bookmarkStart w:id="14" w:name="bookmark14"/>
      <w:r>
        <w:rPr>
          <w:rStyle w:val="CharStyle31"/>
        </w:rPr>
        <w:t xml:space="preserve"> Краткая характеристика системы теплоснабжения</w:t>
      </w:r>
      <w:bookmarkEnd w:id="13"/>
      <w:bookmarkEnd w:id="14"/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Организацией, эксплуатирующей объекты системы теплоснабжения в сельском поселении Тамбовское, является - МУП «Теректеплосбыт».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Индивидуальный жили</w:t>
      </w:r>
      <w:r>
        <w:rPr>
          <w:rStyle w:val="CharStyle28"/>
        </w:rPr>
        <w:t>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ый фонд к объектам теплоснабжения не подключен и охвачен индивидуальными источниками тепла. Индивидуальное теплоснабжение представлено индивидуальными теплогенераторами, работающими на природном топливе (природный газ).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настоящее время система теплоснабжения в сельском поселении представлена 2 (двумя) котельными, расположенными по улицам Дружбы, 168 и 172.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Потребителями тепла в сельском поселении являются объекты социальной инфраструктуры: детский сад, средняя общеобразовательная школа, дом культуры, здание администрации, а также объект здравоохранения - медицинский пункт.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тепловых и паровых сетей в двухтрубном исчислении по Базе данных по муниципальным образованиям Кабардино-Балкарской Республики, Управления Федеральной службы государственной статистики по Северо-Кавказскому Федеральному округу составляет -290,0 м.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Предприятия и организации используют для отопления, собственные котельные.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524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части обеспеченности инженерным оборудованием на расчетный срок действия Генерального плана сохраняется ориентация на локальные системы теплоснабжения. Генеральным планом и схемой теплоснабжения сельского поселения развитие системы теплоснабжения не предусмотрено.</w:t>
      </w:r>
    </w:p>
    <w:p>
      <w:pPr>
        <w:pStyle w:val="Style29"/>
        <w:numPr>
          <w:ilvl w:val="1"/>
          <w:numId w:val="23"/>
        </w:numPr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left"/>
        <w:spacing w:before="0" w:after="33" w:line="240" w:lineRule="exact"/>
        <w:ind w:left="20" w:right="0" w:firstLine="0"/>
      </w:pPr>
      <w:bookmarkStart w:id="15" w:name="bookmark15"/>
      <w:bookmarkStart w:id="16" w:name="bookmark16"/>
      <w:r>
        <w:rPr>
          <w:rStyle w:val="CharStyle31"/>
        </w:rPr>
        <w:t xml:space="preserve"> Краткая характеристика системы водоснабжения</w:t>
      </w:r>
      <w:bookmarkEnd w:id="15"/>
      <w:bookmarkEnd w:id="16"/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Организацией, эксплуатирующей сети водоснабжения в сельском поселении Тамбовское является - муниципальное унитарное предприятие «Тамбовское».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Источником хозяйственно-питьевого водоснабжения в сельском поселении являются 2 (две) артезианские скважины №210Д и №211 Д, одна из которых на данный момент не участвуют в системе водоснабжения и затампонирована.</w:t>
      </w:r>
    </w:p>
    <w:p>
      <w:pPr>
        <w:pStyle w:val="Style12"/>
        <w:framePr w:w="9374" w:h="14363" w:hRule="exact" w:wrap="around" w:vAnchor="page" w:hAnchor="page" w:x="1271" w:y="92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Дебит скважины №210 Д составляет - 149,8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/час. У скважины имеется зоны санитарной охраны. Для подкачки воды в часы максимального потребления установлен насос. Из скважины вода поступает в разводящую сеть.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Резервуары чистой воды и другие, аккумулирующие и пожарные емкости, на территории сельского поселения отсутствуют.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сельского поселения Тамбовское в целях тушения пожара установлены 3 (три) пожарных гидранта, расположенные на территории школы.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уличной водопроводной сети по Базе данных по муниципальным образованиям Кабардино-Балкарской Республики, Управления Федеральной службы государственной статистики по Северо</w:t>
        <w:softHyphen/>
        <w:t>Кавказскому Федеральному округу составляет -13,6 км.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405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Реализация услуг населению производится расчетным путем исходя из степени благоустройства жилого фонда, количества проживающих, нормативов и тарифам на услугу водоснабжения утвержденных в установленном действующим законом порядке.</w:t>
      </w:r>
    </w:p>
    <w:p>
      <w:pPr>
        <w:pStyle w:val="Style29"/>
        <w:numPr>
          <w:ilvl w:val="1"/>
          <w:numId w:val="23"/>
        </w:numPr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20" w:right="0" w:firstLine="0"/>
      </w:pPr>
      <w:bookmarkStart w:id="17" w:name="bookmark17"/>
      <w:bookmarkStart w:id="18" w:name="bookmark18"/>
      <w:r>
        <w:rPr>
          <w:rStyle w:val="CharStyle31"/>
        </w:rPr>
        <w:t xml:space="preserve"> Краткая характеристика системы водоотведения</w:t>
      </w:r>
      <w:bookmarkEnd w:id="17"/>
      <w:bookmarkEnd w:id="18"/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Системы централизованного водоотведения и канализационные очистные сооружения на территории сельского поселения Тамбовское отсутствуют.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Отвод стоков от жилых домов и учреждений осуществляется в выгребные ямы, с последующим выбросом стоков на рельеф.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Жилой фонд, а также объекты социальной инфраструктуры, общественные и производственные здания имеют на своих участках выгребные ямы и септики.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436" w:line="38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предусматривается строительство централизованной системы водоотведения, строительство канализационных сетей и очистных сооружений к 2035 году.</w:t>
      </w:r>
    </w:p>
    <w:p>
      <w:pPr>
        <w:pStyle w:val="Style29"/>
        <w:numPr>
          <w:ilvl w:val="1"/>
          <w:numId w:val="23"/>
        </w:numPr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bookmarkStart w:id="19" w:name="bookmark19"/>
      <w:bookmarkStart w:id="20" w:name="bookmark20"/>
      <w:r>
        <w:rPr>
          <w:rStyle w:val="CharStyle31"/>
        </w:rPr>
        <w:t xml:space="preserve"> Краткая характеристика системы обращения с твердыми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31"/>
        </w:rPr>
        <w:t>коммунальными отходами</w:t>
      </w:r>
      <w:bookmarkEnd w:id="19"/>
      <w:bookmarkEnd w:id="20"/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момент разработки настоящей Программы система утилизации, обезвреживания и захоронения твердых коммунальных отходов на территории сельского поселения Тамбовское отсутствует, сбор, и вывоз твердых коммунальных отходов организован.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сельского поселения Тамбовское отсутствует система канализации.</w:t>
      </w:r>
    </w:p>
    <w:p>
      <w:pPr>
        <w:pStyle w:val="Style12"/>
        <w:framePr w:w="9360" w:h="14597" w:hRule="exact" w:wrap="around" w:vAnchor="page" w:hAnchor="page" w:x="1278" w:y="815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сельского поселения имеется 26 (двадцать шестьь) площадок накопления ТКО.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5472" w:hRule="exact" w:wrap="around" w:vAnchor="page" w:hAnchor="page" w:x="12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Сбор мусора осуществляется в 52 (пятьдесят два) контейнера, объемом 0,75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от частных домов, расположенных по улицам Дружбы, Колхозная, Ленина, Дукова, Сталина, Калмыкова, Садовая.</w:t>
      </w:r>
    </w:p>
    <w:p>
      <w:pPr>
        <w:pStyle w:val="Style12"/>
        <w:framePr w:w="9365" w:h="5472" w:hRule="exact" w:wrap="around" w:vAnchor="page" w:hAnchor="page" w:x="12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Вывоз мусора осуществляется 1 (один) раз в неделю по пятницам, на полигон, расположенный на территории Урванского района.</w:t>
      </w:r>
    </w:p>
    <w:p>
      <w:pPr>
        <w:pStyle w:val="Style12"/>
        <w:framePr w:w="9365" w:h="5472" w:hRule="exact" w:wrap="around" w:vAnchor="page" w:hAnchor="page" w:x="12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Кабардино-Балкарской Республики в результате конкурсного отбора в 2018 году, статус регионального оператора по обращению с ТКО присвоен Обществу с ограниченной ответственностью «Экологистика».</w:t>
      </w:r>
    </w:p>
    <w:p>
      <w:pPr>
        <w:pStyle w:val="Style12"/>
        <w:framePr w:w="9365" w:h="5472" w:hRule="exact" w:wrap="around" w:vAnchor="page" w:hAnchor="page" w:x="12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Терский муниципальный район относится ко II зоне деятельности регионального оператора.</w:t>
      </w:r>
    </w:p>
    <w:p>
      <w:pPr>
        <w:pStyle w:val="Style12"/>
        <w:framePr w:w="9365" w:h="5472" w:hRule="exact" w:wrap="around" w:vAnchor="page" w:hAnchor="page" w:x="12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Перевод функций сбора и утилизации мусора на региональный уровень позволяет региональному оператору осуществлять деятельность на качественном уровне, в том числе за счет концентрации ресурсов.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23"/>
        </w:numPr>
        <w:framePr w:w="9370" w:h="6849" w:hRule="exact" w:wrap="around" w:vAnchor="page" w:hAnchor="page" w:x="1280" w:y="1215"/>
        <w:tabs>
          <w:tab w:leader="none" w:pos="28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2" w:line="240" w:lineRule="exact"/>
        <w:ind w:left="2520" w:right="0" w:firstLine="0"/>
      </w:pPr>
      <w:bookmarkStart w:id="21" w:name="bookmark21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 РАЗВИТИЯ ПОСЕЛЕНИЯ</w:t>
      </w:r>
      <w:bookmarkEnd w:id="21"/>
    </w:p>
    <w:p>
      <w:pPr>
        <w:pStyle w:val="Style12"/>
        <w:numPr>
          <w:ilvl w:val="1"/>
          <w:numId w:val="23"/>
        </w:numPr>
        <w:framePr w:w="9370" w:h="6849" w:hRule="exact" w:wrap="around" w:vAnchor="page" w:hAnchor="page" w:x="1280" w:y="1215"/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20" w:right="0" w:firstLine="0"/>
      </w:pPr>
      <w:bookmarkStart w:id="22" w:name="bookmark22"/>
      <w:bookmarkStart w:id="23" w:name="bookmark23"/>
      <w:r>
        <w:rPr>
          <w:rStyle w:val="CharStyle28"/>
        </w:rPr>
        <w:t>Динамика численности населения</w:t>
      </w:r>
      <w:bookmarkEnd w:id="22"/>
      <w:bookmarkEnd w:id="23"/>
    </w:p>
    <w:p>
      <w:pPr>
        <w:pStyle w:val="Style12"/>
        <w:framePr w:w="9370" w:h="6849" w:hRule="exact" w:wrap="around" w:vAnchor="page" w:hAnchor="page" w:x="1280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Прогнозируемая численность населения сельского поселения Тамбовское рассчитана на основании Генерального плана сельского поселения по стабилизационному сценарию (Том II, Раздел 4.2, п.4.2.1. «Демография и трудовые ресурсы»), на основе трех факторов: рождаемости, смертности и внешних миграций, а также с учетом с учетом оценки численности постоянного населения Кабардино-Балкарской Республики на 1 января 2018 г. и динамики прироста населения.</w:t>
      </w:r>
    </w:p>
    <w:p>
      <w:pPr>
        <w:pStyle w:val="Style12"/>
        <w:framePr w:w="9370" w:h="6849" w:hRule="exact" w:wrap="around" w:vAnchor="page" w:hAnchor="page" w:x="1280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анализе динамики численности населения за период с 2010 по 2017 годы оценка численности в соответствии с представленным сценарием Генерального плана не соответствует фактической численности населения за данный период согласно сведениям Федеральной службы государственной статистики (Росстат).</w:t>
      </w:r>
    </w:p>
    <w:p>
      <w:pPr>
        <w:pStyle w:val="Style12"/>
        <w:framePr w:w="9370" w:h="6849" w:hRule="exact" w:wrap="around" w:vAnchor="page" w:hAnchor="page" w:x="1280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прогнозируемой численности населения в сельском поселении принят стабилизационный сценарий развития, который приведет к росту численности населения.</w:t>
      </w:r>
    </w:p>
    <w:p>
      <w:pPr>
        <w:pStyle w:val="Style32"/>
        <w:framePr w:wrap="around" w:vAnchor="page" w:hAnchor="page" w:x="1299" w:y="83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1. Динамика численности населения сельского поселения Тамбовское, чел.</w:t>
      </w:r>
    </w:p>
    <w:tbl>
      <w:tblPr>
        <w:tblOverlap w:val="never"/>
        <w:tblLayout w:type="fixed"/>
        <w:jc w:val="left"/>
      </w:tblPr>
      <w:tblGrid>
        <w:gridCol w:w="2515"/>
        <w:gridCol w:w="1142"/>
        <w:gridCol w:w="1138"/>
        <w:gridCol w:w="1138"/>
        <w:gridCol w:w="1138"/>
        <w:gridCol w:w="1138"/>
        <w:gridCol w:w="1152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2023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1045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862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1906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2029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1082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867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872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892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1974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1120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924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60" w:h="4848" w:wrap="around" w:vAnchor="page" w:hAnchor="page" w:x="1285" w:y="86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2043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23"/>
        </w:numPr>
        <w:framePr w:w="9562" w:h="8325" w:hRule="exact" w:wrap="around" w:vAnchor="page" w:hAnchor="page" w:x="1184" w:y="913"/>
        <w:tabs>
          <w:tab w:leader="none" w:pos="6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3" w:line="240" w:lineRule="exact"/>
        <w:ind w:left="120" w:right="0" w:firstLine="0"/>
      </w:pPr>
      <w:bookmarkStart w:id="24" w:name="bookmark24"/>
      <w:bookmarkStart w:id="25" w:name="bookmark25"/>
      <w:r>
        <w:rPr>
          <w:rStyle w:val="CharStyle31"/>
        </w:rPr>
        <w:t>План прогнозируемой застройки</w:t>
      </w:r>
      <w:bookmarkEnd w:id="24"/>
      <w:bookmarkEnd w:id="25"/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 направлением жилищного строительства по данным Генерального плана сельского поселения является сохранение и реновация существующего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 фонда, а также новое жилищное строительство.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Жилищный фонд сельского поселения Тамбовское по данным Генерального плана и Базе данных по муниципальным образованиям Кабардино-Балкарской Республики, Управления Федеральной службы государственной статистики по Северо-Кавказскому Федеральному округу составляет - 31,2 тыс.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Определенная Генеральным планом средняя обеспеченность населения жилой площадью в сельском поселении составляет - 16,8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, что незначительно ниже, чем республиканский стандарт, который составляет - 18,8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на 1 человека.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Объём нового строительства в поселении на Расчетный срок (2035 год) действия Г енерального плана составит - 8,07 тыс.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Таким образом на расчетный срок действия Генерального плана сельского поселения (2035 год) средняя обеспеченность населения жилой площадью достигнет - 18,0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на 1 человека.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1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Размер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 фонда к 2035 году составит - 36,77 тыс.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.</w:t>
      </w:r>
    </w:p>
    <w:p>
      <w:pPr>
        <w:pStyle w:val="Style12"/>
        <w:framePr w:w="9562" w:h="8325" w:hRule="exact" w:wrap="around" w:vAnchor="page" w:hAnchor="page" w:x="1184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прогнозируемой застройке в сельском поселении приведены в таблице ниже.</w:t>
      </w:r>
    </w:p>
    <w:p>
      <w:pPr>
        <w:pStyle w:val="Style32"/>
        <w:framePr w:wrap="around" w:vAnchor="page" w:hAnchor="page" w:x="1299" w:y="94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2. Динамика жилой застройки сельского поселения Тамбовское, тыс. м</w:t>
      </w:r>
      <w:r>
        <w:rPr>
          <w:rStyle w:val="CharStyle34"/>
          <w:vertAlign w:val="superscript"/>
          <w:b/>
          <w:bCs/>
        </w:rPr>
        <w:t>2</w:t>
      </w:r>
    </w:p>
    <w:tbl>
      <w:tblPr>
        <w:tblOverlap w:val="never"/>
        <w:tblLayout w:type="fixed"/>
        <w:jc w:val="left"/>
      </w:tblPr>
      <w:tblGrid>
        <w:gridCol w:w="3648"/>
        <w:gridCol w:w="979"/>
        <w:gridCol w:w="984"/>
        <w:gridCol w:w="984"/>
        <w:gridCol w:w="984"/>
        <w:gridCol w:w="984"/>
        <w:gridCol w:w="989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2023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сп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31,24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31,54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31,85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32,16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32,47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32,79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2029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сп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33,11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33,43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33,75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34,08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34,41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34,74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сп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35,07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35,41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35,75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36,09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36,43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52" w:h="2122" w:wrap="around" w:vAnchor="page" w:hAnchor="page" w:x="1189" w:y="97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36,78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23"/>
        </w:numPr>
        <w:framePr w:w="9365" w:h="14090" w:hRule="exact" w:wrap="around" w:vAnchor="page" w:hAnchor="page" w:x="1284" w:y="1172"/>
        <w:tabs>
          <w:tab w:leader="none" w:pos="12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40" w:lineRule="exact"/>
        <w:ind w:left="0" w:right="0" w:firstLine="860"/>
      </w:pPr>
      <w:bookmarkStart w:id="26" w:name="bookmark26"/>
      <w:bookmarkStart w:id="27" w:name="bookmark27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МЕРОПРИЯТИЙ И ЦЕЛЕВЫХ ПОКАЗАТЕЛЕЙ</w:t>
      </w:r>
      <w:bookmarkEnd w:id="26"/>
      <w:bookmarkEnd w:id="27"/>
    </w:p>
    <w:p>
      <w:pPr>
        <w:pStyle w:val="Style23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spacing w:before="0" w:after="473" w:line="240" w:lineRule="exact"/>
        <w:ind w:left="0" w:right="0" w:firstLine="0"/>
      </w:pPr>
      <w:bookmarkStart w:id="28" w:name="bookmark28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ПРОГРАММЫ</w:t>
      </w:r>
      <w:bookmarkEnd w:id="28"/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мероприятий определен на основании: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Генерального плана сельского поселения Тамбовское Терского муниципального района Кабардино-Балкарской Республики, утвержденного Решением Совета местного самоуправления сельского поселения Тамбовское Терского муниципального района Кабардино-Балкарской Республики от</w:t>
      </w:r>
    </w:p>
    <w:p>
      <w:pPr>
        <w:pStyle w:val="Style12"/>
        <w:numPr>
          <w:ilvl w:val="0"/>
          <w:numId w:val="25"/>
        </w:numPr>
        <w:framePr w:w="9365" w:h="14090" w:hRule="exact" w:wrap="around" w:vAnchor="page" w:hAnchor="page" w:x="1284" w:y="1172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года №10/1;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Схемы территориального планирования Терского муниципального района Кабардино-Балкарской Республики, разработанного в соответствии с гос. контрактом от 15.09.2008 г. №37;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Проекта инвестиционной программы ПАО «МРСК Северного Кавказа», утвержденного Приказом Минэнерго России от 25.12.2015 года №1035 (с изменениями в Приказе №24 от 20.12.2018 года);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Государственной программы Кабардино-Балкарской Республики «Энергоэффективность и развитие энергетики в Кабардино-Балкарской Республике» на 2013-2020 годы, утвержденной Постановлением Правительства Кабардино-Балкарской Республики от 27.11.2013 года №310</w:t>
        <w:softHyphen/>
        <w:t>1111 (в редакции Постановлений Правительства КБР от 03.06.2014 года№117- ПП, от 24.03.2015 года №64-ПП);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Плана мероприятий «Дорожная карта» по обеспечению централизованной системой водоснабжения населенных пунктов Терского муниципального района КБР на 2019-2023 годы, утвержденного Постановлением Местной Администрации Терского муниципального района Кабардино-Балкарской Республики от 18.12.2018 года №575-п;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Схемы водоснабжения и водоотведения сельского поселения Тамбовское Терского муниципального района Кабардино-Балкарской Республики;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Схемы теплоснабжения сельского поселения Тамбовское Терского муниципального района Кабардино-Балкарской Республики.</w:t>
      </w:r>
    </w:p>
    <w:p>
      <w:pPr>
        <w:pStyle w:val="Style12"/>
        <w:framePr w:w="9365" w:h="14090" w:hRule="exact" w:wrap="around" w:vAnchor="page" w:hAnchor="page" w:x="1284" w:y="1172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Схемы и программы в области газоснабжения, утилизации, обезвреживания и захоронения твердых коммунальных отходов на территории сельского поселения отсутствуют.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numPr>
          <w:ilvl w:val="0"/>
          <w:numId w:val="27"/>
        </w:numPr>
        <w:framePr w:w="9365" w:h="13808" w:hRule="exact" w:wrap="around" w:vAnchor="page" w:hAnchor="page" w:x="1284" w:y="1126"/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370" w:lineRule="exact"/>
        <w:ind w:left="20" w:right="20" w:firstLine="0"/>
      </w:pPr>
      <w:bookmarkStart w:id="29" w:name="bookmark29"/>
      <w:r>
        <w:rPr>
          <w:rStyle w:val="CharStyle28"/>
        </w:rPr>
        <w:t>Мероприятия, направленные на качественное и бесперебойное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обеспечение электро-, газо-, тепло-, водоснабжения и водоотведения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новых объектов капитального строительства</w:t>
      </w:r>
      <w:bookmarkEnd w:id="29"/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386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мероприятиям, направленным на качественное и бесперебойное обеспечение электро-, газо-, тепло-, водоснабжения и водоотведения новых объектов капитального строительства относятся: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электроснабжения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развитие сетей 10 и 0,4 кВ, с установкой в центрах нагрузок новых подстанций 10/0,4 кВ;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размещение трансформаторных подстанций на территориях нового жилищного строительства;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строительство новых линий на улицах, не оборудованных уличным освещением и при застройке новых территорий.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газоснабжения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Мероприятий, направленных на качественное и бесперебойное обеспечение в сфере газоснабжения новых объектов капитального строительства в сельском поселении Тамбовское не предусмотрено.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теплоснабжения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Мероприятий, направленных на качественное и бесперебойное обеспечение в сфере теплоснабжения новых объектов капитального строительства в сельском поселении Тамбовское не предусмотрено.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и схемой теплоснабжения сельского поселения не предусматривается развитие централизованной системы теплоснабжения.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водоснабжения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Мероприятий, направленных на качественное и бесперебойное обеспечение в сфере водоснабжения новых объектов капитального строительства в сельском поселении Тамбовское не предусмотрено.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28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водоотведения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к 2035 году предусматривается организация централизованной системы водоотведения. Также Генеральным планом предусмотрены следующие мероприятия:</w:t>
      </w:r>
    </w:p>
    <w:p>
      <w:pPr>
        <w:pStyle w:val="Style12"/>
        <w:framePr w:w="9365" w:h="13808" w:hRule="exact" w:wrap="around" w:vAnchor="page" w:hAnchor="page" w:x="1284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строительство сетей канализации.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numPr>
          <w:ilvl w:val="0"/>
          <w:numId w:val="27"/>
        </w:numPr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bookmarkStart w:id="30" w:name="bookmark30"/>
      <w:r>
        <w:rPr>
          <w:rStyle w:val="CharStyle28"/>
        </w:rPr>
        <w:t xml:space="preserve"> Мероприятия по улучшению качества услуг организаций,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эксплуатирующих объекты, используемые для утилизации,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обезвреживания и захоронения твердых коммунальных отходов</w:t>
      </w:r>
      <w:bookmarkEnd w:id="30"/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в области обращения с отходами на территории сельского поселения отсутствует. Генеральным планом сельского поселения Тамбовское предлагается разработка генеральной схемы санитарной очистки, ликвидация стихийных свалок, организация раздельного сбора бытового мусора, рекультивация земель.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503" w:line="39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Территориальной схемой в области обращения с отходами, в том числе с твердыми коммунальными отходами в Кабардино-Балкарской Республике, утвержденной Постановлением Правительства Кабардино-Балкарской Республики от 27.10.2016 года №196-ПП (в редакции Постановления Правительства КБР от 05.09.2017 года №161 -1111) перспективы в сфере обращения с отходами в сельском поселении Тамбовское не определены, в связи с отсутствием утвержденных инвестиционных программ по строительству, реконструкции и модернизации объектов, используемых для обращения с твердыми коммунальными отходами</w:t>
      </w:r>
    </w:p>
    <w:p>
      <w:pPr>
        <w:pStyle w:val="Style12"/>
        <w:numPr>
          <w:ilvl w:val="0"/>
          <w:numId w:val="27"/>
        </w:numPr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bookmarkStart w:id="31" w:name="bookmark31"/>
      <w:r>
        <w:rPr>
          <w:rStyle w:val="CharStyle28"/>
        </w:rPr>
        <w:t xml:space="preserve"> Мероприятия направленные на повышение надежности газо-,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электро-, тепло-, водоснабжения и водоотведения, и качества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коммунальных ресурсов</w:t>
      </w:r>
      <w:bookmarkEnd w:id="31"/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мероприятиям, направленным на повышение надежности газо-, электро-, тепло-, водоснабжения и водоотведения, и качества коммунальных ресурсов относятся: в сфере газоснабжения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систематическое проведение мероприятий по защите газопроводов от коррозии, вызываемой окружающей средой;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реконструкция и модернизация существующих сетей и объектов системы газоснабжения;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качества поставляемого газа должны соответствовать требованиям «ГОСТ 5542-2014 Газы горючие природные промышленного и коммунально-бытового назначения. Технические условия», отклонение свойств подаваемого газа от требований законодательства Российской Федерации о техническом регулировании не допускается.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электроснабжения</w:t>
      </w:r>
    </w:p>
    <w:p>
      <w:pPr>
        <w:pStyle w:val="Style12"/>
        <w:framePr w:w="9370" w:h="14576" w:hRule="exact" w:wrap="around" w:vAnchor="page" w:hAnchor="page" w:x="1282" w:y="112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реконструкция изношенных участков ВЛ 110 кВ и ТП 10/0,4 кВ;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29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реконструкция системы уличного освещения;</w:t>
      </w:r>
    </w:p>
    <w:p>
      <w:pPr>
        <w:pStyle w:val="Style12"/>
        <w:framePr w:w="9365" w:h="14278" w:hRule="exact" w:wrap="around" w:vAnchor="page" w:hAnchor="page" w:x="1284" w:y="1162"/>
        <w:tabs>
          <w:tab w:leader="none" w:pos="1326" w:val="left"/>
          <w:tab w:leader="none" w:pos="9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качества поставляемой электроэнергии</w:t>
        <w:tab/>
        <w:t>должны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соответствовать требованиям «ГОСТ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отклонение напряжения и (или) частоты электрического тока от нормативных требований не допускается.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теплоснабжения</w:t>
      </w:r>
    </w:p>
    <w:p>
      <w:pPr>
        <w:pStyle w:val="Style12"/>
        <w:framePr w:w="9365" w:h="14278" w:hRule="exact" w:wrap="around" w:vAnchor="page" w:hAnchor="page" w:x="1284" w:y="1162"/>
        <w:tabs>
          <w:tab w:leader="none" w:pos="1326" w:val="left"/>
          <w:tab w:leader="none" w:pos="9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установка современных тепло-энергоэффективных</w:t>
        <w:tab/>
        <w:t>блочных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котельных;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замена изношенных теплопроводов;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34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замена ветхих сетей, протяженностью 0,19 км;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проведение работ по замене морально устаревшего, физически изношенного и отработавшего срок эксплуатации оборудования на современный аналог с применением энергосберегающих технологий и высоким уровнем автоматизации.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водоснабжения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реконструкция сетей водоснабжения;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реконструкция насосного оборудования на скважине №210 Д;</w:t>
      </w:r>
    </w:p>
    <w:p>
      <w:pPr>
        <w:pStyle w:val="Style12"/>
        <w:framePr w:w="9365" w:h="14278" w:hRule="exact" w:wrap="around" w:vAnchor="page" w:hAnchor="page" w:x="1284" w:y="1162"/>
        <w:tabs>
          <w:tab w:leader="none" w:pos="13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установка приборов учета у абонентов и на скважине;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строительство емкости, объемом 160,0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;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качества поставляемой холодной воды должны соответствовать требованиям «СанПиН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отклонение состава и свойств холодной воды от нормативных требований не допускается.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водоотведения</w:t>
      </w:r>
    </w:p>
    <w:p>
      <w:pPr>
        <w:pStyle w:val="Style12"/>
        <w:framePr w:w="9365" w:h="14278" w:hRule="exact" w:wrap="around" w:vAnchor="page" w:hAnchor="page" w:x="1284" w:y="1162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Мероприятий, направленных на повышение надежности системы водоотведения и качества коммунальных ресурсов на территории сельского поселения Тамбовское не предусмотрено, в связи с отсутствием системы водоотведения на территории сельского поселения.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42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рамках реализации Генерального плана на 2035 год планируется создание централизованной системы водоотведения на территории сельского поселения.</w:t>
      </w:r>
    </w:p>
    <w:p>
      <w:pPr>
        <w:pStyle w:val="Style12"/>
        <w:numPr>
          <w:ilvl w:val="0"/>
          <w:numId w:val="27"/>
        </w:numPr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bookmarkStart w:id="32" w:name="bookmark32"/>
      <w:r>
        <w:rPr>
          <w:rStyle w:val="CharStyle28"/>
        </w:rPr>
        <w:t xml:space="preserve"> Мероприятия, направленные на повышение энергетической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эффективности и технического уровня объектов, входящих в состав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систем электро-, газо-, тепло-, водоснабжения и водоотведения, 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объектов, используемых для утилизации, обезвреживания и захоронения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твердых коммунальных отходов</w:t>
      </w:r>
      <w:bookmarkEnd w:id="32"/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42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Мероприятия, направленные на повышение энергетической эффективности и технического уровня объектов, входящих в состав систем электро-, газо-, тепло-, водоснабжения и водоотведения, и объектов, используемых для утилизации, обезвреживания и захоронения твердых коммунальных отходов включены в состав мероприятий, направленных на повышение надежности газо-, электро-, тепло-, водоснабжения и водоотведения, и качества коммунальных ресурсов.</w:t>
      </w:r>
    </w:p>
    <w:p>
      <w:pPr>
        <w:pStyle w:val="Style12"/>
        <w:numPr>
          <w:ilvl w:val="0"/>
          <w:numId w:val="27"/>
        </w:numPr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bookmarkStart w:id="33" w:name="bookmark33"/>
      <w:r>
        <w:rPr>
          <w:rStyle w:val="CharStyle28"/>
        </w:rPr>
        <w:t xml:space="preserve"> Мероприятия, направленные на улучшение экологической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ситуации, с учетом достижения организациями, осуществляющими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электро-, газо-, тепло-, водоснабжение и водоотведение, 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организациями, оказывающими услуги по утилизации, обезвреживанию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и захоронению твердых коммунальных отходов, нормативов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допустимого воздействия на окружающую среду</w:t>
      </w:r>
      <w:bookmarkEnd w:id="33"/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Мероприятия, направленные на улучшение экологической ситуации, с учетом достижения нормативов допустимого воздействия на окружающую среду устанавливаются в соответствии с:</w:t>
      </w:r>
    </w:p>
    <w:p>
      <w:pPr>
        <w:pStyle w:val="Style12"/>
        <w:framePr w:w="9370" w:h="14745" w:hRule="exact" w:wrap="around" w:vAnchor="page" w:hAnchor="page" w:x="1282" w:y="1087"/>
        <w:tabs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выбросов и сбросов веществ и</w:t>
      </w: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микроорганизмов;</w:t>
      </w:r>
    </w:p>
    <w:p>
      <w:pPr>
        <w:pStyle w:val="Style12"/>
        <w:framePr w:w="9370" w:h="14745" w:hRule="exact" w:wrap="around" w:vAnchor="page" w:hAnchor="page" w:x="1282" w:y="1087"/>
        <w:tabs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образования отходов производства и потребления и</w:t>
      </w: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лимиты на их размещение;</w:t>
      </w:r>
    </w:p>
    <w:p>
      <w:pPr>
        <w:pStyle w:val="Style12"/>
        <w:framePr w:w="9370" w:h="14745" w:hRule="exact" w:wrap="around" w:vAnchor="page" w:hAnchor="page" w:x="1282" w:y="1087"/>
        <w:tabs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физических воздействий (количество</w:t>
      </w: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тепла, уровни шума, вибрации, ионизирующего излучения, напряженности электромагнитных полей и иных физических воздействий);</w:t>
      </w:r>
    </w:p>
    <w:p>
      <w:pPr>
        <w:pStyle w:val="Style12"/>
        <w:framePr w:w="9370" w:h="14745" w:hRule="exact" w:wrap="around" w:vAnchor="page" w:hAnchor="page" w:x="1282" w:y="1087"/>
        <w:tabs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0" w:line="240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допустимого изъятия компонентов природной</w:t>
      </w: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18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среды;</w:t>
      </w:r>
    </w:p>
    <w:p>
      <w:pPr>
        <w:pStyle w:val="Style12"/>
        <w:framePr w:w="9370" w:h="14745" w:hRule="exact" w:wrap="around" w:vAnchor="page" w:hAnchor="page" w:x="1282" w:y="1087"/>
        <w:tabs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880" w:right="0" w:firstLine="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допустимой антропогенной нагрузки на</w:t>
      </w:r>
    </w:p>
    <w:p>
      <w:pPr>
        <w:pStyle w:val="Style12"/>
        <w:framePr w:w="9370" w:h="14745" w:hRule="exact" w:wrap="around" w:vAnchor="page" w:hAnchor="page" w:x="1282" w:y="1087"/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окружающую среду;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480" w:line="370" w:lineRule="exact"/>
        <w:ind w:left="20" w:right="40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мероприятиях, направленных на улучшение экологической ситуации, с учетом достижения нормативов допустимого воздействия на окружающую среду, организаций осуществляющих электро-, газо-, водоснабжение и водоотведение отсутствуют.</w:t>
      </w:r>
    </w:p>
    <w:p>
      <w:pPr>
        <w:pStyle w:val="Style12"/>
        <w:numPr>
          <w:ilvl w:val="0"/>
          <w:numId w:val="27"/>
        </w:numPr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400" w:firstLine="0"/>
      </w:pPr>
      <w:bookmarkStart w:id="34" w:name="bookmark34"/>
      <w:r>
        <w:rPr>
          <w:rStyle w:val="CharStyle28"/>
        </w:rPr>
        <w:t xml:space="preserve"> Мероприятия, предусмотренные программой в области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энергосбережения и повышения энергетической эффективности</w:t>
      </w:r>
      <w:bookmarkEnd w:id="34"/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40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Тамбовское Терского муниципального района предусмотрены следующие мероприятия в области энергосбережения и повышения энергетической эффективности: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29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сфере электроснабжения: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40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проведение энергетических обследований, нормирование и установление обоснованных лимитов потребления энергетических ресурсов для учреждений бюджетной сферы;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22" w:line="240" w:lineRule="exact"/>
        <w:ind w:left="2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замена ламп накаливания на энергосберегающие лампы;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40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обеспечение учета всего объема потребляемых энергетических ресурсов в организациях бюджетной сферы;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74" w:line="240" w:lineRule="exact"/>
        <w:ind w:left="2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использование в светильниках современных энергосберегающих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38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ламп.</w:t>
      </w:r>
    </w:p>
    <w:p>
      <w:pPr>
        <w:pStyle w:val="Style12"/>
        <w:framePr w:w="9754" w:h="14465" w:hRule="exact" w:wrap="around" w:vAnchor="page" w:hAnchor="page" w:x="1090" w:y="1056"/>
        <w:tabs>
          <w:tab w:leader="none" w:pos="6305" w:val="right"/>
          <w:tab w:leader="none" w:pos="64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Также</w:t>
        <w:tab/>
        <w:t>Государственной программой</w:t>
        <w:tab/>
        <w:t>Кабардино-Балкарской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40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Республики «Энергоэффективность и развитие энергетики в Кабардино- Балкарской Республике» на 2013-2020 годы предусмотрено мероприятие: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both"/>
        <w:spacing w:before="0" w:after="507" w:line="403" w:lineRule="exact"/>
        <w:ind w:left="20" w:right="40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оснащение энергоэкономичными осветительными приборами и энергосберегающими источниками света в сельских поселения Терского муниципального района.</w:t>
      </w:r>
    </w:p>
    <w:p>
      <w:pPr>
        <w:pStyle w:val="Style12"/>
        <w:numPr>
          <w:ilvl w:val="0"/>
          <w:numId w:val="27"/>
        </w:numPr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400" w:firstLine="0"/>
      </w:pPr>
      <w:bookmarkStart w:id="35" w:name="bookmark35"/>
      <w:r>
        <w:rPr>
          <w:rStyle w:val="CharStyle28"/>
        </w:rPr>
        <w:t xml:space="preserve"> Целевые показатели комплексного развития систем коммунальной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инфраструктуры</w:t>
      </w:r>
      <w:bookmarkEnd w:id="35"/>
    </w:p>
    <w:p>
      <w:pPr>
        <w:pStyle w:val="Style12"/>
        <w:framePr w:w="9754" w:h="14465" w:hRule="exact" w:wrap="around" w:vAnchor="page" w:hAnchor="page" w:x="1090" w:y="1056"/>
        <w:tabs>
          <w:tab w:leader="none" w:pos="6305" w:val="right"/>
          <w:tab w:leader="none" w:pos="65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</w:t>
        <w:tab/>
        <w:t>анализе комплексного развития</w:t>
        <w:tab/>
        <w:t>систем коммунальной</w:t>
      </w:r>
    </w:p>
    <w:p>
      <w:pPr>
        <w:pStyle w:val="Style12"/>
        <w:framePr w:w="9754" w:h="14465" w:hRule="exact" w:wrap="around" w:vAnchor="page" w:hAnchor="page" w:x="1090" w:y="1056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инфраструктуры можно выделить такие целевые показатели, как: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спроса на коммунальные ресурсы и перспективной нагрузки (по каждому виду коммунального ресурса);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изменение уровня загрузки мощностей и уровень соответствия мощностей объектов коммунальной инфраструктуры потребностям потребителей;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26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качества поставляемого коммунального ресурса;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степени охвата потребителей приборами учета (с выделением многоквартирных домов и бюджетных организаций);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надежности по каждой системе ресурсоснабжения (количество аварий и повреждений на 1 км инженерных сетей, износ коммунальных сетей, протяженность сетей, нуждающихся в замене);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эффективности производства и транспортировки ресурсов по каждой системе ресурсоснабжения (удельные расходы топлива и энергии, проценты собственных нужд, проценты потерь в сетях);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4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эффективности потребления каждого вида коммунального ресурса (удельные расходы каждого вида ресурса на 1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, на 1 чел.);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показатели воздействия на окружающую среду;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20" w:right="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критерии доступности для населения коммунальных услуг.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анализируются по каждому виду коммунальных услуг (за исключением критериев доступности для населения коммунальных услуг, которые анализируются в комплексе по всем видам коммунальных услуг) и периодически пересматриваются и актуализируются.</w:t>
      </w:r>
    </w:p>
    <w:p>
      <w:pPr>
        <w:pStyle w:val="Style12"/>
        <w:framePr w:w="9403" w:h="10553" w:hRule="exact" w:wrap="around" w:vAnchor="page" w:hAnchor="page" w:x="1265" w:y="105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целевых показателей комплексного развития коммунальной инфраструктуры приведен в таблице:</w:t>
      </w:r>
    </w:p>
    <w:p>
      <w:pPr>
        <w:pStyle w:val="Style32"/>
        <w:framePr w:w="9192" w:h="614" w:hRule="exact" w:wrap="around" w:vAnchor="page" w:hAnchor="page" w:x="1299" w:y="11843"/>
        <w:tabs>
          <w:tab w:leader="underscore" w:pos="3283" w:val="left"/>
          <w:tab w:leader="underscore" w:pos="4152" w:val="left"/>
          <w:tab w:leader="underscore" w:pos="5016" w:val="left"/>
          <w:tab w:leader="underscore" w:pos="5885" w:val="left"/>
          <w:tab w:leader="underscore" w:pos="6749" w:val="left"/>
          <w:tab w:leader="underscore" w:pos="7618" w:val="left"/>
          <w:tab w:leader="underscore" w:pos="8482" w:val="left"/>
          <w:tab w:leader="underscore" w:pos="9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3. Целевые показатели комплексного развития коммунальной </w:t>
      </w:r>
      <w:r>
        <w:rPr>
          <w:rStyle w:val="CharStyle34"/>
          <w:b/>
          <w:bCs/>
        </w:rPr>
        <w:t>инфраструктуры</w:t>
      </w:r>
      <w:r>
        <w:rPr>
          <w:lang w:val="ru-RU" w:eastAsia="ru-RU" w:bidi="ru-RU"/>
          <w:w w:val="100"/>
          <w:color w:val="000000"/>
          <w:position w:val="0"/>
        </w:rPr>
        <w:tab/>
        <w:tab/>
        <w:tab/>
        <w:tab/>
        <w:tab/>
        <w:tab/>
        <w:tab/>
        <w:tab/>
      </w:r>
    </w:p>
    <w:tbl>
      <w:tblPr>
        <w:tblOverlap w:val="never"/>
        <w:tblLayout w:type="fixed"/>
        <w:jc w:val="left"/>
      </w:tblPr>
      <w:tblGrid>
        <w:gridCol w:w="557"/>
        <w:gridCol w:w="2760"/>
        <w:gridCol w:w="869"/>
        <w:gridCol w:w="864"/>
        <w:gridCol w:w="869"/>
        <w:gridCol w:w="864"/>
        <w:gridCol w:w="869"/>
        <w:gridCol w:w="864"/>
        <w:gridCol w:w="878"/>
      </w:tblGrid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60" w:right="0" w:firstLine="0"/>
            </w:pPr>
            <w:r>
              <w:rPr>
                <w:rStyle w:val="CharStyle35"/>
              </w:rPr>
              <w:t>№</w:t>
            </w:r>
          </w:p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60" w:right="0" w:firstLine="0"/>
            </w:pPr>
            <w:r>
              <w:rPr>
                <w:rStyle w:val="CharStyle3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9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Целевые показатели системы электроснабжения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Изменение спроса на электрическую энергию,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110,33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Удельный расход электроэнергии на 1 чел., кВт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509,0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Удельный расход электроэнергии на 1 м</w:t>
            </w:r>
            <w:r>
              <w:rPr>
                <w:rStyle w:val="CharStyle35"/>
                <w:vertAlign w:val="superscript"/>
              </w:rPr>
              <w:t>2</w:t>
            </w:r>
            <w:r>
              <w:rPr>
                <w:rStyle w:val="CharStyle35"/>
              </w:rPr>
              <w:t xml:space="preserve"> жилой площади, кВт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30,04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29,92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29,81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29,69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29,58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29,01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5"/>
              </w:rPr>
              <w:t>28,26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Количество аварий на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5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3547" w:wrap="around" w:vAnchor="page" w:hAnchor="page" w:x="1270" w:y="124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0,02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57"/>
        <w:gridCol w:w="2760"/>
        <w:gridCol w:w="869"/>
        <w:gridCol w:w="864"/>
        <w:gridCol w:w="869"/>
        <w:gridCol w:w="864"/>
        <w:gridCol w:w="869"/>
        <w:gridCol w:w="864"/>
        <w:gridCol w:w="878"/>
      </w:tblGrid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60" w:right="0" w:firstLine="0"/>
            </w:pPr>
            <w:r>
              <w:rPr>
                <w:rStyle w:val="CharStyle35"/>
              </w:rPr>
              <w:t>№</w:t>
            </w:r>
          </w:p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60" w:right="0" w:firstLine="0"/>
            </w:pPr>
            <w:r>
              <w:rPr>
                <w:rStyle w:val="CharStyle3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километр сетей, ед./год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94" w:h="13061" w:wrap="around" w:vAnchor="page" w:hAnchor="page" w:x="1270" w:y="11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35"/>
              </w:rPr>
              <w:t>Уровень физического износа сетей,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35</w:t>
            </w:r>
          </w:p>
        </w:tc>
      </w:tr>
      <w:tr>
        <w:trPr>
          <w:trHeight w:val="7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Доля потерь электрической энергии в сетях,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14,01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13,77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13,53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13,29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13,05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11,86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10,19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9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Целевые показатели системы газоснабжения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Изменение спроса на газ,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110,33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35"/>
              </w:rPr>
              <w:t>Удельный расход газа на 1 чел., м</w:t>
            </w:r>
            <w:r>
              <w:rPr>
                <w:rStyle w:val="CharStyle3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794,91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Удельный расход газа на 1</w:t>
            </w:r>
          </w:p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37"/>
              </w:rPr>
              <w:t>2</w:t>
            </w:r>
            <w:r>
              <w:rPr>
                <w:rStyle w:val="CharStyle38"/>
              </w:rPr>
              <w:t xml:space="preserve"> ~ </w:t>
            </w:r>
            <w:r>
              <w:rPr>
                <w:rStyle w:val="CharStyle37"/>
              </w:rPr>
              <w:t>3</w:t>
            </w:r>
          </w:p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м</w:t>
            </w:r>
            <w:r>
              <w:rPr>
                <w:rStyle w:val="CharStyle37"/>
                <w:vertAlign w:val="superscript"/>
              </w:rPr>
              <w:t>2</w:t>
            </w:r>
            <w:r>
              <w:rPr>
                <w:rStyle w:val="CharStyle38"/>
              </w:rPr>
              <w:t xml:space="preserve"> </w:t>
            </w:r>
            <w:r>
              <w:rPr>
                <w:rStyle w:val="CharStyle35"/>
              </w:rPr>
              <w:t>жилой площади, м</w:t>
            </w:r>
            <w:r>
              <w:rPr>
                <w:rStyle w:val="CharStyle3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46,94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46,76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46,58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46,40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46,22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45,34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44,16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9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Целевые показатели системы водоснабжения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35"/>
              </w:rPr>
              <w:t>Изменение спроса на холодную воду,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110,33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Удельный расход холодной воды на 1 чел., м</w:t>
            </w:r>
            <w:r>
              <w:rPr>
                <w:rStyle w:val="CharStyle3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83,04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Удельный расход холодной воды на 1 м</w:t>
            </w:r>
            <w:r>
              <w:rPr>
                <w:rStyle w:val="CharStyle37"/>
                <w:vertAlign w:val="superscript"/>
              </w:rPr>
              <w:t>2</w:t>
            </w:r>
            <w:r>
              <w:rPr>
                <w:rStyle w:val="CharStyle37"/>
              </w:rPr>
              <w:t xml:space="preserve"> </w:t>
            </w:r>
            <w:r>
              <w:rPr>
                <w:rStyle w:val="CharStyle35"/>
              </w:rPr>
              <w:t>жилой площади, м</w:t>
            </w:r>
            <w:r>
              <w:rPr>
                <w:rStyle w:val="CharStyle3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4,61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9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Целевые показатели системы водоотведения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Изменение спроса на сточные воды,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105,95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35"/>
              </w:rPr>
              <w:t>Удельный расход сточных вод на 1 кв. м жилой площади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66,43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35"/>
              </w:rPr>
              <w:t>Удельный расход сточных вод на 1 чел., м</w:t>
            </w:r>
            <w:r>
              <w:rPr>
                <w:rStyle w:val="CharStyle37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3,79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3,69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gridSpan w:val="9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Критерии доступности для населения коммунальных услуг</w:t>
            </w:r>
          </w:p>
        </w:tc>
      </w:tr>
      <w:tr>
        <w:trPr>
          <w:trHeight w:val="10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Доля расходов на коммунальные услуги в совокупном доходе семьи,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4,8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5,2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6,1</w:t>
            </w:r>
          </w:p>
        </w:tc>
      </w:tr>
      <w:tr>
        <w:trPr>
          <w:trHeight w:val="10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Доля населения с доходами ниже прожиточного минимума,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39,2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37,3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35,6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38,2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6,0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30,3</w:t>
            </w:r>
          </w:p>
        </w:tc>
      </w:tr>
      <w:tr>
        <w:trPr>
          <w:trHeight w:val="7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Уровень собираемости платежей за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87,3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87,2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86,4</w:t>
            </w:r>
          </w:p>
        </w:tc>
      </w:tr>
      <w:tr>
        <w:trPr>
          <w:trHeight w:val="12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5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Доля получателей субсидий на оплату коммунальных услуг в общей численности населения,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21,1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24,9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94" w:h="13061" w:wrap="around" w:vAnchor="page" w:hAnchor="page" w:x="1270" w:y="11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23,4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23"/>
        </w:numPr>
        <w:framePr w:w="9451" w:h="9558" w:hRule="exact" w:wrap="around" w:vAnchor="page" w:hAnchor="page" w:x="1241" w:y="810"/>
        <w:tabs>
          <w:tab w:leader="none" w:pos="13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29" w:line="374" w:lineRule="exact"/>
        <w:ind w:left="1220" w:right="1020" w:hanging="200"/>
      </w:pPr>
      <w:bookmarkStart w:id="36" w:name="bookmark36"/>
      <w:bookmarkStart w:id="37" w:name="bookmark37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АНАЛИЗ ФАКТИЧЕСКИХ И ПЛАНОВЫХ РАСХОДОВ НА ФИНАНСИРОВАНИЕ ИНВЕСТИЦИОННЫХ ПРОЕКТОВ</w:t>
      </w:r>
      <w:bookmarkEnd w:id="36"/>
      <w:bookmarkEnd w:id="37"/>
    </w:p>
    <w:p>
      <w:pPr>
        <w:pStyle w:val="Style12"/>
        <w:framePr w:w="9451" w:h="9558" w:hRule="exact" w:wrap="around" w:vAnchor="page" w:hAnchor="page" w:x="1241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40" w:right="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инвестиционных проектов в отношении систем электроснабжения, водоснабжения и водоотведения, а также в области энергосбережения и повышения энергетической эффективности определен на основании разработанных и утвержденных программ (схем) в сфере энергоснабжения, водоснабжения, водоотведения.</w:t>
      </w:r>
    </w:p>
    <w:p>
      <w:pPr>
        <w:pStyle w:val="Style12"/>
        <w:framePr w:w="9451" w:h="9558" w:hRule="exact" w:wrap="around" w:vAnchor="page" w:hAnchor="page" w:x="1241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40" w:right="6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Инвестиционные проекты в сфере водоснабжения сельского поселения с плановыми расходами на финансирование в отсутствии включении проектов в целевые программы, где источником финансирования являются средства, полученные от оказания услуг по регулируемым государством ценам в сельском поселении Тамбовское приведены в таблице.</w:t>
      </w:r>
    </w:p>
    <w:p>
      <w:pPr>
        <w:pStyle w:val="Style12"/>
        <w:framePr w:w="9451" w:h="9558" w:hRule="exact" w:wrap="around" w:vAnchor="page" w:hAnchor="page" w:x="1241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40" w:right="6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Инвестиционные проекты в сфере теплоснабжения сельского поселения с плановыми расходами на финансирование в отсутствии включения проектов в целевые программы, где источником финансирования являются средства, полученные от оказания услуг по регулируемым государством ценам в сельском поселении Тамбовское приведены в таблице.</w:t>
      </w:r>
    </w:p>
    <w:p>
      <w:pPr>
        <w:pStyle w:val="Style12"/>
        <w:framePr w:w="9451" w:h="9558" w:hRule="exact" w:wrap="around" w:vAnchor="page" w:hAnchor="page" w:x="1241" w:y="810"/>
        <w:tabs>
          <w:tab w:leader="none" w:pos="5152" w:val="left"/>
          <w:tab w:leader="none" w:pos="938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40" w:right="6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Инвестиционные проекты в области энергоснабжения и повышения энергетической эффективности с плановыми расходами на финансирование в рамках</w:t>
        <w:tab/>
        <w:t>Г осударственной</w:t>
        <w:tab/>
        <w:t>программы</w:t>
      </w:r>
    </w:p>
    <w:p>
      <w:pPr>
        <w:pStyle w:val="Style12"/>
        <w:framePr w:w="9451" w:h="9558" w:hRule="exact" w:wrap="around" w:vAnchor="page" w:hAnchor="page" w:x="1241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40" w:right="6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«Энергоэффективность и развитие энергетики в Кабардино-Балкарской Республике» на 2013-2020 годы, где источником финансирования будут являться бюджеты разных уровней, приведены в таблице.</w:t>
      </w:r>
    </w:p>
    <w:p>
      <w:pPr>
        <w:pStyle w:val="Style32"/>
        <w:framePr w:w="9331" w:h="605" w:hRule="exact" w:wrap="around" w:vAnchor="page" w:hAnchor="page" w:x="1299" w:y="1062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4. Инвестиционные проекты в сфере водоснабжения сельского поселения Тамбовское</w:t>
      </w:r>
    </w:p>
    <w:tbl>
      <w:tblPr>
        <w:tblOverlap w:val="never"/>
        <w:tblLayout w:type="fixed"/>
        <w:jc w:val="left"/>
      </w:tblPr>
      <w:tblGrid>
        <w:gridCol w:w="562"/>
        <w:gridCol w:w="3024"/>
        <w:gridCol w:w="1728"/>
        <w:gridCol w:w="4128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240" w:right="0" w:firstLine="0"/>
            </w:pPr>
            <w:r>
              <w:rPr>
                <w:rStyle w:val="CharStyle35"/>
              </w:rPr>
              <w:t>№</w:t>
            </w:r>
          </w:p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40" w:right="0" w:firstLine="0"/>
            </w:pPr>
            <w:r>
              <w:rPr>
                <w:rStyle w:val="CharStyle3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Инвестиционный проект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5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Перечень программных документов, в которые включен соответствующий инвестиционных проект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6"/>
              </w:rPr>
              <w:t>Реконструкция сетей водоснабжения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10702,312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В настоящее время данные мероприятия не заявлены в действующие целевые программы для их финансирования.</w:t>
            </w:r>
          </w:p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Источниками финансирования данных инвестиционных проектов будут являться средства определенные в рамках концессионных соглашений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Реконструкция насосного оборудования на скважине №210 - 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25,0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9442" w:h="3653" w:wrap="around" w:vAnchor="page" w:hAnchor="page" w:x="1246" w:y="11194"/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36"/>
              </w:rPr>
              <w:t>Установка приборов учета у абонентов и на скважине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465,86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9442" w:h="3653" w:wrap="around" w:vAnchor="page" w:hAnchor="page" w:x="1246" w:y="11194"/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36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Строительство емкости, объемом 160м</w:t>
            </w:r>
            <w:r>
              <w:rPr>
                <w:rStyle w:val="CharStyle36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42" w:h="3653" w:wrap="around" w:vAnchor="page" w:hAnchor="page" w:x="1246" w:y="1119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570,0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framePr w:w="9442" w:h="3653" w:wrap="around" w:vAnchor="page" w:hAnchor="page" w:x="1246" w:y="1119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framePr w:w="9336" w:h="600" w:hRule="exact" w:wrap="around" w:vAnchor="page" w:hAnchor="page" w:x="1299" w:y="838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5. Инвестиционные проекты в сфере теплоснабжения сельского поселения Тамбовское</w:t>
      </w:r>
    </w:p>
    <w:tbl>
      <w:tblPr>
        <w:tblOverlap w:val="never"/>
        <w:tblLayout w:type="fixed"/>
        <w:jc w:val="left"/>
      </w:tblPr>
      <w:tblGrid>
        <w:gridCol w:w="581"/>
        <w:gridCol w:w="3024"/>
        <w:gridCol w:w="1699"/>
        <w:gridCol w:w="4171"/>
      </w:tblGrid>
      <w:tr>
        <w:trPr>
          <w:trHeight w:val="12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180" w:right="0" w:firstLine="0"/>
            </w:pPr>
            <w:r>
              <w:rPr>
                <w:rStyle w:val="CharStyle35"/>
              </w:rPr>
              <w:t>№</w:t>
            </w:r>
          </w:p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180" w:right="0" w:firstLine="0"/>
            </w:pPr>
            <w:r>
              <w:rPr>
                <w:rStyle w:val="CharStyle3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Инвестиционный проект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35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35"/>
              </w:rPr>
              <w:t>Перечень программных документов, в которые включен соответствующий инвестиционных проект</w:t>
            </w:r>
          </w:p>
        </w:tc>
      </w:tr>
      <w:tr>
        <w:trPr>
          <w:trHeight w:val="222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36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Реконструкция оборудования котельной и распределительных трубопроводов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1669,6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75" w:h="3514" w:wrap="around" w:vAnchor="page" w:hAnchor="page" w:x="1227" w:y="14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В настоящее время данные мероприятия не заявлены в действующие целевые программы для их финансирования. Источниками финансирования данных инвестиционных проектов будут являться средства определенные в рамках концессионных соглашений.</w:t>
            </w:r>
          </w:p>
        </w:tc>
      </w:tr>
    </w:tbl>
    <w:p>
      <w:pPr>
        <w:pStyle w:val="Style32"/>
        <w:framePr w:w="9370" w:h="626" w:hRule="exact" w:wrap="around" w:vAnchor="page" w:hAnchor="page" w:x="1289" w:y="5528"/>
        <w:tabs>
          <w:tab w:leader="underscore" w:pos="5515" w:val="left"/>
          <w:tab w:leader="underscore" w:pos="9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6. Инвестиционные проекты в области энергосбережения и повышения </w:t>
      </w:r>
      <w:r>
        <w:rPr>
          <w:rStyle w:val="CharStyle34"/>
          <w:b/>
          <w:bCs/>
        </w:rPr>
        <w:t>энергетической эффективности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  <w:tab/>
        <w:tab/>
      </w:r>
    </w:p>
    <w:tbl>
      <w:tblPr>
        <w:tblOverlap w:val="never"/>
        <w:tblLayout w:type="fixed"/>
        <w:jc w:val="left"/>
      </w:tblPr>
      <w:tblGrid>
        <w:gridCol w:w="562"/>
        <w:gridCol w:w="3341"/>
        <w:gridCol w:w="1685"/>
        <w:gridCol w:w="3902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80" w:right="0" w:firstLine="0"/>
            </w:pPr>
            <w:r>
              <w:rPr>
                <w:rStyle w:val="CharStyle35"/>
              </w:rPr>
              <w:t>№</w:t>
            </w:r>
          </w:p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80" w:right="0" w:firstLine="0"/>
            </w:pPr>
            <w:r>
              <w:rPr>
                <w:rStyle w:val="CharStyle3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Инвестиционный проект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5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Перечень программных документов, в которые включен соответствующий инвестиционных проект</w:t>
            </w:r>
          </w:p>
        </w:tc>
      </w:tr>
      <w:tr>
        <w:trPr>
          <w:trHeight w:val="167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36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Оснащение энергоэкономичными осветительными приборами и энергосберегающими источниками света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276,50</w:t>
            </w:r>
            <w:r>
              <w:rPr>
                <w:rStyle w:val="CharStyle36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90" w:h="2798" w:wrap="around" w:vAnchor="page" w:hAnchor="page" w:x="1222" w:y="61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Мероприятие включено в Государственную программу «Энергоэффективность и развитие энергетики в Кабардино</w:t>
              <w:softHyphen/>
              <w:t>Балкарской Республике» на 2013</w:t>
              <w:softHyphen/>
              <w:t>2020 годы</w:t>
            </w:r>
          </w:p>
        </w:tc>
      </w:tr>
    </w:tbl>
    <w:p>
      <w:pPr>
        <w:pStyle w:val="Style21"/>
        <w:framePr w:w="9408" w:h="490" w:hRule="exact" w:wrap="around" w:vAnchor="page" w:hAnchor="page" w:x="1260" w:y="15503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80" w:right="8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3</w:t>
      </w:r>
      <w:r>
        <w:rPr>
          <w:lang w:val="ru-RU" w:eastAsia="ru-RU" w:bidi="ru-RU"/>
          <w:w w:val="100"/>
          <w:color w:val="000000"/>
          <w:position w:val="0"/>
        </w:rPr>
        <w:t xml:space="preserve"> Стоимость мероприятия указана в целом на Терский муниципальный район Кабардино-Балкарский Республики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23"/>
        </w:numPr>
        <w:framePr w:w="9370" w:h="14831" w:hRule="exact" w:wrap="around" w:vAnchor="page" w:hAnchor="page" w:x="1282" w:y="908"/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2" w:line="240" w:lineRule="exact"/>
        <w:ind w:left="20" w:right="0" w:firstLine="0"/>
      </w:pPr>
      <w:bookmarkStart w:id="38" w:name="bookmark38"/>
      <w:bookmarkStart w:id="39" w:name="bookmark39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ОБОСНОВАНИЕ ПРОГНОЗИРУЕМОГО СПРОСА НА КОММУНАЛЬНЫЕ</w:t>
      </w:r>
      <w:bookmarkEnd w:id="38"/>
      <w:bookmarkEnd w:id="39"/>
    </w:p>
    <w:p>
      <w:pPr>
        <w:pStyle w:val="Style23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spacing w:before="0" w:after="70" w:line="240" w:lineRule="exact"/>
        <w:ind w:left="20" w:right="0" w:firstLine="0"/>
      </w:pPr>
      <w:bookmarkStart w:id="40" w:name="bookmark4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РЕСУРСЫ</w:t>
      </w:r>
      <w:bookmarkEnd w:id="40"/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 спроса на коммунальные ресурсы сформирован на основании данных о существующем и прогнозируемом потреблении ресурсов, рассчитанном с учетом планируемого до 2035 года увеличения площади жилищного фонда сельского поселения Тамбовское, прогнозируемой численности населения и уровня жилищной обеспеченности граждан.</w:t>
      </w:r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 перспективного изменения численности населения сформирован с учетом стабилизационного сценария в Генеральном плане сельского поселения Тамбовское (Том II, Раздел 4.2, п. 4.2.1. «Демография и трудовые ресурсы»).</w:t>
      </w:r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Удельное годовое потребление на 1 человека для расчета прогнозируемого спроса:</w:t>
      </w:r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электрической энергии в целом определено на основании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27.06.2014 года №12 «Об утверждении нормативов потребления коммунальных услуг по электроснабжению на территории Кабардино-Балкарской Республики» (в редакции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20.05.2015 года №15);</w:t>
      </w:r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природного газа, определено на основании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27.12.2016 года №71 «Об утверждении нормативов потребления коммунальной услуги по газоснабжению при использовании природного газа на территории Кабардино-Балкарской Республики»;</w:t>
      </w:r>
    </w:p>
    <w:p>
      <w:pPr>
        <w:pStyle w:val="Style12"/>
        <w:framePr w:w="9370" w:h="14831" w:hRule="exact" w:wrap="around" w:vAnchor="page" w:hAnchor="page" w:x="1282" w:y="908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25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холодного водоснабжения, определено на основании Приказа Государственного комитета Кабардино-Балкарской Республики по энергетике и тарифам от 20.06.2014 года №10 «Об утверждении нормативов потребления коммунальных услуг по холодному и горячему водоснабжению и водоотведению на территории Кабардино-Балкарской Республики» (в редакции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01.06.2017 года №65-ОД) и данных нормативно-правового документа «Схема водоснабжения и водоотведения сельского поселения;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для водоотведения, определено на основании Приказа Г осударственного комитета Кабардино-Балкарской Республики по энергетике и тарифам от 20.06.2014 года №10 «Об утверждении нормативов потребления коммунальных услуг по холодному и горячему водоснабжению и водоотведению на территории Кабардино-Балкарской Республики» (в редакции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01.06.2017 года №65-ОД) и данных нормативно-правового документа «Схема водоснабжения и водоотведения сельского поселения;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для твердых коммунальных отходов, определено на основании Приказа Министерства инфраструктуры и цифрового развития Кабардино - Балкарской Республики от 05.10.2018 года №79-п «Об утверждении нормативов накопления твердых коммунальных отходов на территории Кабардино-Балкарской Республики».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Удельно-годовое потребление (накопление) на 1 человека заложено для расчета прогнозируемого спроса коммунальных ресурсов (отходов) в части категории «Население», и применено при формировании разделов: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«Результатов оценки совокупного платежа граждан за коммунальные услуги на соответствие критериям доступности»;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«Прогнозируемые расходы на предоставление отдельным категориям граждан субсидий на оплату коммунальных услуг».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551" w:line="403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не предусмотрено развитие централизованной системы теплоснабжения и организация горячего водоснабжения, поэтому определение прогнозируемого спроса на тепловую энергию, прогнозируемого спроса на горячую воду на территории сельского поселения не проводилось.</w:t>
      </w:r>
    </w:p>
    <w:p>
      <w:pPr>
        <w:pStyle w:val="Style29"/>
        <w:numPr>
          <w:ilvl w:val="1"/>
          <w:numId w:val="23"/>
        </w:numPr>
        <w:framePr w:w="9370" w:h="14837" w:hRule="exact" w:wrap="around" w:vAnchor="page" w:hAnchor="page" w:x="1282" w:y="773"/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" w:line="240" w:lineRule="exact"/>
        <w:ind w:left="0" w:right="0" w:firstLine="0"/>
      </w:pPr>
      <w:bookmarkStart w:id="41" w:name="bookmark41"/>
      <w:bookmarkStart w:id="42" w:name="bookmark42"/>
      <w:r>
        <w:rPr>
          <w:rStyle w:val="CharStyle31"/>
        </w:rPr>
        <w:t>Определение прогнозируемой численности населения</w:t>
      </w:r>
      <w:bookmarkEnd w:id="41"/>
      <w:bookmarkEnd w:id="42"/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Численность населения сельского поселения Тамбовское, согласно оценке численности постоянного населения Кабардино-Балкарской Республики, на 1 января 2018 г. по данным Федеральной службы государственной статистики составляет - 1852 чел.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Таким образом, представляется возможным определить прогнозируемую численность населения сельского поселения на 2035 г. следующим образом:</w:t>
      </w:r>
    </w:p>
    <w:p>
      <w:pPr>
        <w:pStyle w:val="Style12"/>
        <w:framePr w:w="9370" w:h="14837" w:hRule="exact" w:wrap="around" w:vAnchor="page" w:hAnchor="page" w:x="1282" w:y="773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Н= Нс* (1 +(Рр/ 100))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Тр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, где: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98" w:h="3472" w:hRule="exact" w:wrap="around" w:vAnchor="page" w:hAnchor="page" w:x="1268" w:y="903"/>
        <w:widowControl w:val="0"/>
        <w:keepNext w:val="0"/>
        <w:keepLines w:val="0"/>
        <w:shd w:val="clear" w:color="auto" w:fill="auto"/>
        <w:bidi w:val="0"/>
        <w:jc w:val="both"/>
        <w:spacing w:before="0" w:after="118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Нс - существующая численность населения на исходный срок;</w:t>
      </w:r>
    </w:p>
    <w:p>
      <w:pPr>
        <w:pStyle w:val="Style12"/>
        <w:framePr w:w="9398" w:h="3472" w:hRule="exact" w:wrap="around" w:vAnchor="page" w:hAnchor="page" w:x="1268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Рр - среднегодовой процент изменения численности населения с учетом прироста-0,58;</w:t>
      </w:r>
    </w:p>
    <w:p>
      <w:pPr>
        <w:pStyle w:val="Style12"/>
        <w:framePr w:w="9398" w:h="3472" w:hRule="exact" w:wrap="around" w:vAnchor="page" w:hAnchor="page" w:x="1268" w:y="903"/>
        <w:widowControl w:val="0"/>
        <w:keepNext w:val="0"/>
        <w:keepLines w:val="0"/>
        <w:shd w:val="clear" w:color="auto" w:fill="auto"/>
        <w:bidi w:val="0"/>
        <w:jc w:val="both"/>
        <w:spacing w:before="0" w:after="150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Тр - число лет.</w:t>
      </w:r>
    </w:p>
    <w:p>
      <w:pPr>
        <w:pStyle w:val="Style12"/>
        <w:framePr w:w="9398" w:h="3472" w:hRule="exact" w:wrap="around" w:vAnchor="page" w:hAnchor="page" w:x="1268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 фактором прироста численности населения будет естественная прирост.</w:t>
      </w:r>
    </w:p>
    <w:p>
      <w:pPr>
        <w:pStyle w:val="Style12"/>
        <w:framePr w:w="9398" w:h="3472" w:hRule="exact" w:wrap="around" w:vAnchor="page" w:hAnchor="page" w:x="1268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Прогнозируемая численность населения сельского поселения Тамбовское представлена в таблице:</w:t>
      </w:r>
    </w:p>
    <w:p>
      <w:pPr>
        <w:pStyle w:val="Style32"/>
        <w:framePr w:w="9360" w:h="589" w:hRule="exact" w:wrap="around" w:vAnchor="page" w:hAnchor="page" w:x="1301" w:y="4596"/>
        <w:tabs>
          <w:tab w:leader="underscore" w:pos="93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7. Прогнозируемая численность населения сельского поселения </w:t>
      </w:r>
      <w:r>
        <w:rPr>
          <w:rStyle w:val="CharStyle34"/>
          <w:b/>
          <w:bCs/>
        </w:rPr>
        <w:t>Тамбовское, чел.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2525"/>
        <w:gridCol w:w="1142"/>
        <w:gridCol w:w="1142"/>
        <w:gridCol w:w="1142"/>
        <w:gridCol w:w="1142"/>
        <w:gridCol w:w="1142"/>
        <w:gridCol w:w="1152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2023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1045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862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1906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2029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1082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867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872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892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1974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1120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с. Нижний Акбаш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924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600" w:right="0" w:firstLine="0"/>
            </w:pPr>
            <w:r>
              <w:rPr>
                <w:rStyle w:val="CharStyle35"/>
              </w:rPr>
              <w:t>Итого по 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1997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89" w:h="4853" w:wrap="around" w:vAnchor="page" w:hAnchor="page" w:x="1272" w:y="51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2043</w:t>
            </w:r>
          </w:p>
        </w:tc>
      </w:tr>
    </w:tbl>
    <w:p>
      <w:pPr>
        <w:pStyle w:val="Style29"/>
        <w:numPr>
          <w:ilvl w:val="1"/>
          <w:numId w:val="23"/>
        </w:numPr>
        <w:framePr w:w="9398" w:h="5397" w:hRule="exact" w:wrap="around" w:vAnchor="page" w:hAnchor="page" w:x="1268" w:y="10489"/>
        <w:tabs>
          <w:tab w:leader="none" w:pos="5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3" w:line="240" w:lineRule="exact"/>
        <w:ind w:left="20" w:right="0" w:firstLine="0"/>
      </w:pPr>
      <w:bookmarkStart w:id="43" w:name="bookmark43"/>
      <w:bookmarkStart w:id="44" w:name="bookmark44"/>
      <w:r>
        <w:rPr>
          <w:rStyle w:val="CharStyle31"/>
        </w:rPr>
        <w:t>Определение прогнозируемого спроса на электрическую энергию</w:t>
      </w:r>
      <w:bookmarkEnd w:id="43"/>
      <w:bookmarkEnd w:id="44"/>
    </w:p>
    <w:p>
      <w:pPr>
        <w:pStyle w:val="Style12"/>
        <w:framePr w:w="9398" w:h="5397" w:hRule="exact" w:wrap="around" w:vAnchor="page" w:hAnchor="page" w:x="1268" w:y="1048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на электрическую энергию в соответствии со Сводом правил СП 42.13330.2011 Градостроительство. Планировка и застройка городских и сельских поселений. Актуализированная редакция СНиП 2.07.01-89* Приложение Н «Укрупненные показатели электропотребления» для сельских поселений, необорудованных стационарными электроплитами (без кондиционеров) определен в размере 950 кВт*ч/год на 1 человека.</w:t>
      </w:r>
    </w:p>
    <w:p>
      <w:pPr>
        <w:pStyle w:val="Style12"/>
        <w:framePr w:w="9398" w:h="5397" w:hRule="exact" w:wrap="around" w:vAnchor="page" w:hAnchor="page" w:x="1268" w:y="1048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Приведенный укрупненный показатель предусматривает электроснабжение жилых и общественных зданий, предприятий коммунально-бытового обслуживания, наружным освещением, системами водоснабжения, водоотведения и теплоснабжения. Данный укрупненный показатель не предусматривает электроснабжение промышленной категории объектов.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81" w:h="2271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Принимая во внимание однородность поселений Терского муниципального района, доля потребления электрической энергии на хозяйственно-бытовые нужды населения определена по данным предоставленным Администрацией Терского муниципального района, согласно усредненному удельному потреблению электрической энергии на 1 жителя сельского поселения за период с 2016 по 2018 годы.</w:t>
      </w:r>
    </w:p>
    <w:p>
      <w:pPr>
        <w:pStyle w:val="Style32"/>
        <w:framePr w:wrap="around" w:vAnchor="page" w:hAnchor="page" w:x="1301" w:y="336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8. Прогнозируемый спрос на электрическую энергию, тыс. кВт/ч</w:t>
      </w:r>
    </w:p>
    <w:tbl>
      <w:tblPr>
        <w:tblOverlap w:val="never"/>
        <w:tblLayout w:type="fixed"/>
        <w:jc w:val="left"/>
      </w:tblPr>
      <w:tblGrid>
        <w:gridCol w:w="2971"/>
        <w:gridCol w:w="1066"/>
        <w:gridCol w:w="1061"/>
        <w:gridCol w:w="1061"/>
        <w:gridCol w:w="1061"/>
        <w:gridCol w:w="1061"/>
        <w:gridCol w:w="1070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1759,4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1769,6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1779,9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1790,2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1800,6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1811,0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942,1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947,6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953,1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958,6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964,2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969,8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1821,5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1832,1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1842,7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1853,4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1864,2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1875,0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975,4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981,1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986,8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992,5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998,2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1004,0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1885,8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1896,8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1907,8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1918,8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1930,0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1941,2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1009,9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1015,7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1021,6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1027,5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1033,5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50" w:h="4445" w:wrap="around" w:vAnchor="page" w:hAnchor="page" w:x="1292" w:y="3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1039,5</w:t>
            </w:r>
          </w:p>
        </w:tc>
      </w:tr>
    </w:tbl>
    <w:p>
      <w:pPr>
        <w:pStyle w:val="Style12"/>
        <w:framePr w:w="9581" w:h="5303" w:hRule="exact" w:wrap="around" w:vAnchor="page" w:hAnchor="page" w:x="1176" w:y="8402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соответствии с Приказом Государственного комитета Кабардино</w:t>
        <w:softHyphen/>
        <w:t>Балкарской Республики по энергетике, тарифам и жилищному надзору</w:t>
      </w:r>
    </w:p>
    <w:p>
      <w:pPr>
        <w:pStyle w:val="Style12"/>
        <w:numPr>
          <w:ilvl w:val="0"/>
          <w:numId w:val="29"/>
        </w:numPr>
        <w:framePr w:w="9581" w:h="5303" w:hRule="exact" w:wrap="around" w:vAnchor="page" w:hAnchor="page" w:x="1176" w:y="8402"/>
        <w:tabs>
          <w:tab w:leader="none" w:pos="17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года №12 «Об утверждении нормативов потребления коммунальных услуг по электроснабжению на территории Кабардино</w:t>
        <w:softHyphen/>
        <w:t>Балкарской Республики» (в редакции Приказа Государственного комитета Кабардино-Балкарской Республики по энергетике, тарифам и жилищному надзору от 20.05.2015 года №15) для расчета прогнозируемого спроса объемов потребления электрической энергии норматив потребления электроэнергии в месяц в жилых домах, в соответствии с Приложение №3 к Приказу составляет - 83,0 кВт/ч на средний состав семьи в размере 3 человек.</w:t>
      </w:r>
    </w:p>
    <w:p>
      <w:pPr>
        <w:pStyle w:val="Style12"/>
        <w:framePr w:w="9581" w:h="5303" w:hRule="exact" w:wrap="around" w:vAnchor="page" w:hAnchor="page" w:x="1176" w:y="8402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120" w:right="1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Определение прогнозируемого спроса на электрическую энергию в соответствии с вышеуказанным Приказом на территории сельского поселения Тамбовское приведено </w:t>
      </w:r>
      <w:r>
        <w:rPr>
          <w:rStyle w:val="CharStyle25"/>
          <w:lang w:val="ru-RU" w:eastAsia="ru-RU" w:bidi="ru-RU"/>
        </w:rPr>
        <w:t>справочно.</w:t>
      </w:r>
    </w:p>
    <w:p>
      <w:pPr>
        <w:pStyle w:val="Style32"/>
        <w:framePr w:wrap="around" w:vAnchor="page" w:hAnchor="page" w:x="1301" w:y="138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9. Прогнозируемый спрос на электрическую энергию, тыс. кВт/ч</w:t>
      </w:r>
    </w:p>
    <w:tbl>
      <w:tblPr>
        <w:tblOverlap w:val="never"/>
        <w:tblLayout w:type="fixed"/>
        <w:jc w:val="left"/>
      </w:tblPr>
      <w:tblGrid>
        <w:gridCol w:w="3082"/>
        <w:gridCol w:w="1080"/>
        <w:gridCol w:w="1080"/>
        <w:gridCol w:w="1080"/>
        <w:gridCol w:w="1080"/>
        <w:gridCol w:w="1080"/>
        <w:gridCol w:w="1090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1759,4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1769,6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1779,9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1790,2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1800,6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1811,0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1689,0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1698,8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1708,7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1718,6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1728,6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1738,6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1843" w:wrap="around" w:vAnchor="page" w:hAnchor="page" w:x="1181" w:y="140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2029 г.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82"/>
        <w:gridCol w:w="1080"/>
        <w:gridCol w:w="1080"/>
        <w:gridCol w:w="1080"/>
        <w:gridCol w:w="1080"/>
        <w:gridCol w:w="1080"/>
        <w:gridCol w:w="1090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1821,5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1832,1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1842,7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1853,4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1864,2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1875,0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1748,7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1758,8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1769,0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1779,3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1789,6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1800,0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5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5"/>
              </w:rPr>
              <w:t>Электропотребление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1885,8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1896,8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1907,8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1918,8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1930,0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5"/>
              </w:rPr>
              <w:t>1941,2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В т.ч. хозяйственно</w:t>
              <w:softHyphen/>
              <w:t>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1810,4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1820,9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1831,5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1842,1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1852,8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2611" w:wrap="around" w:vAnchor="page" w:hAnchor="page" w:x="1181" w:y="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36"/>
              </w:rPr>
              <w:t>1863,5</w:t>
            </w:r>
          </w:p>
        </w:tc>
      </w:tr>
    </w:tbl>
    <w:p>
      <w:pPr>
        <w:pStyle w:val="Style29"/>
        <w:numPr>
          <w:ilvl w:val="1"/>
          <w:numId w:val="23"/>
        </w:numPr>
        <w:framePr w:w="9581" w:h="11046" w:hRule="exact" w:wrap="around" w:vAnchor="page" w:hAnchor="page" w:x="1176" w:y="3961"/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8" w:line="240" w:lineRule="exact"/>
        <w:ind w:left="120" w:right="0" w:firstLine="0"/>
      </w:pPr>
      <w:bookmarkStart w:id="45" w:name="bookmark45"/>
      <w:bookmarkStart w:id="46" w:name="bookmark46"/>
      <w:r>
        <w:rPr>
          <w:rStyle w:val="CharStyle31"/>
        </w:rPr>
        <w:t>Определение прогнозируемого спроса на газ</w:t>
      </w:r>
      <w:bookmarkEnd w:id="45"/>
      <w:bookmarkEnd w:id="46"/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на газ в соответствии с СП 42-101-2003.Свод правил по проектированию и строительству. Общие положения по проектированию и строительству газораспределительных систем из металлических и полиэтиленовых труб (одобрен Постановлением Госстроя РФ от 26.06.2003 №112) «Укрупненные показатели потребления газа» для населенного пункта сельского поселения при теплоте сгорания газа 34 МДж/м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.</w:t>
      </w:r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Годовые расходы газа на нужды предприятий торговли, бытового обслуживания непроизводственного характера можно принимать в размере до 5% суммарного расхода теплоты на жилые дома (в соответствии с СП 42</w:t>
        <w:softHyphen/>
        <w:t>101-2003).</w:t>
      </w:r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потребления газа промышленными предприятиями составляет 15% от общего объема газопотребления на жилищно-коммунальные нужды.</w:t>
      </w:r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Приведенный укрупненный показатель предусматривает газоснабжение жилых и общественных зданий, предприятий коммунально</w:t>
        <w:softHyphen/>
        <w:t>бытового обслуживания (без учета отопления). Данный укрупненный показатель не предусматривает газоснабжение промышленной категории объектов.</w:t>
      </w:r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Расчетный спрос на газ на хозяйственно-бытовые нужды населения определен на основании данных представленных Администрацией Терского муниципального района, согласно усредненному удельному потреблению газа на 1 жителя сельского поселения за период с 2017 по 2018 годы.</w:t>
      </w:r>
    </w:p>
    <w:p>
      <w:pPr>
        <w:pStyle w:val="Style12"/>
        <w:framePr w:w="9581" w:h="11046" w:hRule="exact" w:wrap="around" w:vAnchor="page" w:hAnchor="page" w:x="1176" w:y="3961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Определение прогнозируемого спроса на газ на территории сельского поселения проведено без учета расхода газа на нужды промышленных и сельскохозяйственных предприятий, а также прогнозируемого спроса на газ в целях отопления предприятий торговли, бытового обслуживания непроизводственного характера и т.п., в связи с отсутствием исходных данных по таким предприятиям.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framePr w:wrap="around" w:vAnchor="page" w:hAnchor="page" w:x="1301" w:y="8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10. Прогнозируемый спрос на газ, тыс. м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3</w:t>
      </w:r>
    </w:p>
    <w:tbl>
      <w:tblPr>
        <w:tblOverlap w:val="never"/>
        <w:tblLayout w:type="fixed"/>
        <w:jc w:val="left"/>
      </w:tblPr>
      <w:tblGrid>
        <w:gridCol w:w="3082"/>
        <w:gridCol w:w="1080"/>
        <w:gridCol w:w="1080"/>
        <w:gridCol w:w="1080"/>
        <w:gridCol w:w="1080"/>
        <w:gridCol w:w="1080"/>
        <w:gridCol w:w="1090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1472,17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1480,71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1489,30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1497,94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1506,62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1515,36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73,61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74,04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74,46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74,90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75,33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75,77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1545,78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1554,75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1563,76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1572,83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1581,95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1591,13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1524,15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1532,99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1541,88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1550,83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1559,82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1568,87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76,21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76,65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77,09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77,54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77,99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78,44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1600,36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1609,64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1618,98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1628,37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1637,81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1647,31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1577,97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1587,12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1596,32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1605,58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1614,90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1624,26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78,90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79,36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79,82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80,28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80,74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81,21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1656,87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1666,48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1676,14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1685,86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1695,64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7147" w:wrap="around" w:vAnchor="page" w:hAnchor="page" w:x="1181" w:y="1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1705,47</w:t>
            </w:r>
          </w:p>
        </w:tc>
      </w:tr>
    </w:tbl>
    <w:p>
      <w:pPr>
        <w:pStyle w:val="Style12"/>
        <w:framePr w:w="9581" w:h="6890" w:hRule="exact" w:wrap="around" w:vAnchor="page" w:hAnchor="page" w:x="1176" w:y="8652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соответствии с Приложением №1 к приказу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27.12.2016 года №71 «Нормативы потребления коммунальной услуги по газоснабжению природным газом для приготовления пищи, подогрева воды и отопления жилых помещений»:</w:t>
      </w:r>
    </w:p>
    <w:p>
      <w:pPr>
        <w:pStyle w:val="Style12"/>
        <w:framePr w:w="9581" w:h="6890" w:hRule="exact" w:wrap="around" w:vAnchor="page" w:hAnchor="page" w:x="1176" w:y="865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потребления газа на приготовление п</w:t>
      </w:r>
      <w:r>
        <w:rPr>
          <w:rStyle w:val="CharStyle28"/>
        </w:rPr>
        <w:t>ищи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с использованием газовой плиты составляет в месяц 10,0 куб. м на 1 человека (в год 120,0 куб. м на 1 человека);</w:t>
      </w:r>
    </w:p>
    <w:p>
      <w:pPr>
        <w:pStyle w:val="Style12"/>
        <w:framePr w:w="9581" w:h="6890" w:hRule="exact" w:wrap="around" w:vAnchor="page" w:hAnchor="page" w:x="1176" w:y="865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потребления газа на подогрев воды для хозяйственных и санитарно-гигиенических нужд (в условиях отсутствия централизованного горячего водоснабжения) с использованием газовой плиты составляет в месяц 5,1 куб. м на 1 человека (в год 61,2 куб. м на 1 человека);</w:t>
      </w:r>
    </w:p>
    <w:p>
      <w:pPr>
        <w:pStyle w:val="Style12"/>
        <w:framePr w:w="9581" w:h="6890" w:hRule="exact" w:wrap="around" w:vAnchor="page" w:hAnchor="page" w:x="1176" w:y="8652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потребления газа на подогрев воды для хозяйственных и санитарно-гигиенических нужд (в условиях отсутствия централизованного горячего водоснабжения) с использованием газового водонагревателя составляет в месяц 23,0 куб. м на 1 человека (в год 276,0 куб. м на 1 человека);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81" w:h="3330" w:hRule="exact" w:wrap="around" w:vAnchor="page" w:hAnchor="page" w:x="1176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потребления газа на отопление жилых помещений в календарный месяц отопительного периода равный 7 (семи) календарным месяцам составляет в месяц 11,314 куб. м на 1 кв. м общей площади жилых помещений (в отапливаемый период равный 7 (семи) месяцам 79,198 куб. м на 1 кв. м общей площади жилых помещений).</w:t>
      </w:r>
    </w:p>
    <w:p>
      <w:pPr>
        <w:pStyle w:val="Style12"/>
        <w:framePr w:w="9581" w:h="3330" w:hRule="exact" w:wrap="around" w:vAnchor="page" w:hAnchor="page" w:x="1176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Определение прогнозируемого спроса на газ на территории сельского поселения Тамбовское приведено </w:t>
      </w:r>
      <w:r>
        <w:rPr>
          <w:rStyle w:val="CharStyle41"/>
          <w:lang w:val="ru-RU" w:eastAsia="ru-RU" w:bidi="ru-RU"/>
        </w:rPr>
        <w:t>справочно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в соответствии с вышеуказанным Приказом.</w:t>
      </w:r>
    </w:p>
    <w:p>
      <w:pPr>
        <w:pStyle w:val="Style32"/>
        <w:framePr w:wrap="around" w:vAnchor="page" w:hAnchor="page" w:x="1301" w:y="42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11. Прогнозируемый спрос на газ, тыс. м</w:t>
      </w:r>
      <w:r>
        <w:rPr>
          <w:rStyle w:val="CharStyle34"/>
          <w:vertAlign w:val="superscript"/>
          <w:b/>
          <w:bCs/>
        </w:rPr>
        <w:t>3</w:t>
      </w:r>
    </w:p>
    <w:tbl>
      <w:tblPr>
        <w:tblOverlap w:val="never"/>
        <w:tblLayout w:type="fixed"/>
        <w:jc w:val="left"/>
      </w:tblPr>
      <w:tblGrid>
        <w:gridCol w:w="3082"/>
        <w:gridCol w:w="1080"/>
        <w:gridCol w:w="1080"/>
        <w:gridCol w:w="1080"/>
        <w:gridCol w:w="1080"/>
        <w:gridCol w:w="1080"/>
        <w:gridCol w:w="1090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733,4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737,6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741,9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746,2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750,6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754,9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отопление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2473,9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2498,1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2522,5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2547,1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2571,8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2596,8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160,4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161,8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163,2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164,7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166,1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167,6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3367,7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3397,5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3427,6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3457,9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3488,5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3519,3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759,3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763,7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768,1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772,6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777,1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781,6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отопление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2622,0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2647,4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2673,0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2698,8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2724,8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2751,0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169,1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170,6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172,1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173,6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175,1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176,6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3550,4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3581,6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3613,2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3644,9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3677,0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3709,2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хозяйственно-бытовые нужды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786,1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790,7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795,2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799,9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804,5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809,2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отопление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2777,5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2804,1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2831,0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40"/>
              </w:rPr>
              <w:t>2858,1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2885,4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2912,9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Газопотребление на хозяйственные нужды организаций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178,2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179,7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181,3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182,9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184,5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186,1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3741,7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3774,5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3807,5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3840,8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3874,4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8837" w:wrap="around" w:vAnchor="page" w:hAnchor="page" w:x="1181" w:y="4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3908,2</w:t>
            </w:r>
          </w:p>
        </w:tc>
      </w:tr>
    </w:tbl>
    <w:p>
      <w:pPr>
        <w:pStyle w:val="Style29"/>
        <w:numPr>
          <w:ilvl w:val="0"/>
          <w:numId w:val="31"/>
        </w:numPr>
        <w:framePr w:w="9581" w:h="2225" w:hRule="exact" w:wrap="around" w:vAnchor="page" w:hAnchor="page" w:x="1176" w:y="13781"/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120" w:right="0" w:firstLine="0"/>
      </w:pPr>
      <w:bookmarkStart w:id="47" w:name="bookmark47"/>
      <w:bookmarkStart w:id="48" w:name="bookmark48"/>
      <w:r>
        <w:rPr>
          <w:rStyle w:val="CharStyle31"/>
        </w:rPr>
        <w:t>Определение прогнозируемого спроса на холодную воду</w:t>
      </w:r>
      <w:bookmarkEnd w:id="47"/>
      <w:bookmarkEnd w:id="48"/>
    </w:p>
    <w:p>
      <w:pPr>
        <w:pStyle w:val="Style12"/>
        <w:framePr w:w="9581" w:h="2225" w:hRule="exact" w:wrap="around" w:vAnchor="page" w:hAnchor="page" w:x="1176" w:y="1378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на холодную воду на хозяйственно-питьевые нужды населения определен на основании Приказа Государственного комитета Кабардино-Балкарской Республики по энергетике и тарифам от</w:t>
      </w:r>
    </w:p>
    <w:p>
      <w:pPr>
        <w:pStyle w:val="Style12"/>
        <w:numPr>
          <w:ilvl w:val="0"/>
          <w:numId w:val="33"/>
        </w:numPr>
        <w:framePr w:w="9581" w:h="2225" w:hRule="exact" w:wrap="around" w:vAnchor="page" w:hAnchor="page" w:x="1176" w:y="13781"/>
        <w:tabs>
          <w:tab w:leader="none" w:pos="1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года №10 «Об утверждении нормативов потребления коммунальных услуг по холодному и горячему водоснабжению 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27" w:h="3077" w:hRule="exact" w:wrap="around" w:vAnchor="page" w:hAnchor="page" w:x="1253" w:y="804"/>
        <w:tabs>
          <w:tab w:leader="none" w:pos="1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водоотведению на территории Кабардино-Балкарской Республики» (в редакции Приказа Государственного комитета Кабардино-Балкарской Республики по энергетике, тарифам и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ому надзору от 01.06.2017 года №65-ОД), данных схемы водоснабжения и водоотведения сельского поселения с учетом прогнозируемой численности населения.</w:t>
      </w:r>
    </w:p>
    <w:p>
      <w:pPr>
        <w:pStyle w:val="Style12"/>
        <w:framePr w:w="9427" w:h="3077" w:hRule="exact" w:wrap="around" w:vAnchor="page" w:hAnchor="page" w:x="125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основании этих показателей, полученных расчетным путем, получен прогнозный спрос на холодную воду для сельского поселения Тамбовское.</w:t>
      </w:r>
    </w:p>
    <w:p>
      <w:pPr>
        <w:pStyle w:val="Style32"/>
        <w:framePr w:wrap="around" w:vAnchor="page" w:hAnchor="page" w:x="1301" w:y="39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12. Прогнозируемый спрос на холодную воду, тыс. м</w:t>
      </w:r>
      <w:r>
        <w:rPr>
          <w:rStyle w:val="CharStyle34"/>
          <w:vertAlign w:val="superscript"/>
          <w:b/>
          <w:bCs/>
        </w:rPr>
        <w:t>3</w:t>
      </w:r>
    </w:p>
    <w:tbl>
      <w:tblPr>
        <w:tblOverlap w:val="never"/>
        <w:tblLayout w:type="fixed"/>
        <w:jc w:val="left"/>
      </w:tblPr>
      <w:tblGrid>
        <w:gridCol w:w="3432"/>
        <w:gridCol w:w="998"/>
        <w:gridCol w:w="994"/>
        <w:gridCol w:w="998"/>
        <w:gridCol w:w="994"/>
        <w:gridCol w:w="998"/>
        <w:gridCol w:w="1003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потребления воды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153,79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154,68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155,58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156,48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157,39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158,30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Объем потребления воды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215,05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216,30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217,55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218,81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220,08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221,36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потребления воды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159,22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160,14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161,07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162,01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162,95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163,89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Объем потребления воды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222,64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223,94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225,23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226,54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227,85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229,18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потребления воды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164,84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165,80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166,76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167,73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168,70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40"/>
              </w:rPr>
              <w:t>169,68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Объем потребления воды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230,50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231,84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233,19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234,54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235,90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4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9"/>
              </w:rPr>
              <w:t>237,27</w:t>
            </w:r>
          </w:p>
        </w:tc>
      </w:tr>
    </w:tbl>
    <w:p>
      <w:pPr>
        <w:pStyle w:val="Style29"/>
        <w:numPr>
          <w:ilvl w:val="0"/>
          <w:numId w:val="31"/>
        </w:numPr>
        <w:framePr w:w="9427" w:h="6425" w:hRule="exact" w:wrap="around" w:vAnchor="page" w:hAnchor="page" w:x="1253" w:y="9130"/>
        <w:tabs>
          <w:tab w:leader="none" w:pos="5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" w:line="240" w:lineRule="exact"/>
        <w:ind w:left="40" w:right="0" w:firstLine="0"/>
      </w:pPr>
      <w:bookmarkStart w:id="49" w:name="bookmark49"/>
      <w:bookmarkStart w:id="50" w:name="bookmark50"/>
      <w:r>
        <w:rPr>
          <w:rStyle w:val="CharStyle31"/>
        </w:rPr>
        <w:t>Определение прогнозируемого спроса на сточные бытовые воды</w:t>
      </w:r>
      <w:bookmarkEnd w:id="49"/>
      <w:bookmarkEnd w:id="50"/>
    </w:p>
    <w:p>
      <w:pPr>
        <w:pStyle w:val="Style12"/>
        <w:framePr w:w="9427" w:h="6425" w:hRule="exact" w:wrap="around" w:vAnchor="page" w:hAnchor="page" w:x="1253" w:y="913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Генеральным планом сельского поселения Тамбовское предусматривается создание централизованной системы водоотведения к 2035 году, в связи, с чем прогнозируемый спрос на сточные бытовые воды определен </w:t>
      </w:r>
      <w:r>
        <w:rPr>
          <w:rStyle w:val="CharStyle41"/>
          <w:lang w:val="ru-RU" w:eastAsia="ru-RU" w:bidi="ru-RU"/>
        </w:rPr>
        <w:t>справочно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с 2025 года и до конца действия настоящей Программы.</w:t>
      </w:r>
    </w:p>
    <w:p>
      <w:pPr>
        <w:pStyle w:val="Style12"/>
        <w:framePr w:w="9427" w:h="6425" w:hRule="exact" w:wrap="around" w:vAnchor="page" w:hAnchor="page" w:x="1253" w:y="913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на сточные бытовые воды определен на основании Приказа Государственного комитета Кабардино-Балкарской Республики по энергетике и тарифам от 20.06.2014 года №10 «Об утверждении нормативов потребления коммунальных услуг по холодному и горячему водоснабжению и водоотведению на территории Кабардино</w:t>
        <w:softHyphen/>
        <w:t>Балкарской Республики» (в редакции Приказа Государственного комитета Кабардино-Балкарской Республики по энергетике, тарифам и жилищному надзору от 01.06.2017 года №65-ОД) с учетом прогнозируемой численности населения.</w:t>
      </w:r>
    </w:p>
    <w:p>
      <w:pPr>
        <w:pStyle w:val="Style12"/>
        <w:framePr w:w="9427" w:h="6425" w:hRule="exact" w:wrap="around" w:vAnchor="page" w:hAnchor="page" w:x="1253" w:y="913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расчета прогнозируемого спроса объемов на период действия Генерального плана сельского поселения Тамбовское и настоящей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27" w:h="4246" w:hRule="exact" w:wrap="around" w:vAnchor="page" w:hAnchor="page" w:x="125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Программы в соответствии с действующим законодательством количество принятых сточных вод принимается равным количеству потребленной воды.</w:t>
      </w:r>
    </w:p>
    <w:p>
      <w:pPr>
        <w:pStyle w:val="Style12"/>
        <w:framePr w:w="9427" w:h="4246" w:hRule="exact" w:wrap="around" w:vAnchor="page" w:hAnchor="page" w:x="125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По категории «Население» величины удельного среднесуточного расхода воды приняты в соответствии с СП 31.13330.2012 «Свод правил. Водоснабжение. Наружные сети и сооружения. Актуализированная редакция СНиП 2.04.02-84*» с изменением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1 (утвержденным Приказом Минрегиона России от 29.12.2011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635/14) (редакция от 30.12.2015 г.) в зависимости от степени благоустройства жилищного фонда.</w:t>
      </w:r>
    </w:p>
    <w:p>
      <w:pPr>
        <w:pStyle w:val="Style12"/>
        <w:framePr w:w="9427" w:h="4246" w:hRule="exact" w:wrap="around" w:vAnchor="page" w:hAnchor="page" w:x="125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основании этих показателей, полученных расчетным путем, получен прогнозный спрос на сточные бытовые воды для сельского поселения Тамбовское.</w:t>
      </w:r>
    </w:p>
    <w:p>
      <w:pPr>
        <w:pStyle w:val="Style32"/>
        <w:framePr w:wrap="around" w:vAnchor="page" w:hAnchor="page" w:x="1301" w:y="53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13. Прогнозируемый спрос на сточные бытовые воды, тыс. м</w:t>
      </w:r>
      <w:r>
        <w:rPr>
          <w:rStyle w:val="CharStyle34"/>
          <w:vertAlign w:val="superscript"/>
          <w:b/>
          <w:bCs/>
        </w:rPr>
        <w:t>3</w:t>
      </w:r>
    </w:p>
    <w:tbl>
      <w:tblPr>
        <w:tblOverlap w:val="never"/>
        <w:tblLayout w:type="fixed"/>
        <w:jc w:val="left"/>
      </w:tblPr>
      <w:tblGrid>
        <w:gridCol w:w="3432"/>
        <w:gridCol w:w="998"/>
        <w:gridCol w:w="994"/>
        <w:gridCol w:w="998"/>
        <w:gridCol w:w="994"/>
        <w:gridCol w:w="998"/>
        <w:gridCol w:w="1003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поступления сточных вод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Объем поступления сточных вод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поступления сточных вод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128,11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128,86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129,61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130,36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131,11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Объем поступления сточных вод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140,93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141,74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142,57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144,39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146,22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поступления сточных вод по категории «Население»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131,87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132,64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133,41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134,18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134,96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135,74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Объем поступления сточных вод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148,06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149,90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153,60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155,46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4440" w:wrap="around" w:vAnchor="page" w:hAnchor="page" w:x="1258" w:y="55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157,32</w:t>
            </w:r>
          </w:p>
        </w:tc>
      </w:tr>
    </w:tbl>
    <w:p>
      <w:pPr>
        <w:pStyle w:val="Style12"/>
        <w:framePr w:w="9427" w:h="5414" w:hRule="exact" w:wrap="around" w:vAnchor="page" w:hAnchor="page" w:x="1253" w:y="1038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0"/>
      </w:pPr>
      <w:bookmarkStart w:id="51" w:name="bookmark51"/>
      <w:r>
        <w:rPr>
          <w:rStyle w:val="CharStyle28"/>
        </w:rPr>
        <w:t>5.6. Определение прогнозируемого спроса на утилизацию,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обезвреживание и захоронение твердых коммунальных отходов</w:t>
      </w:r>
      <w:bookmarkEnd w:id="51"/>
    </w:p>
    <w:p>
      <w:pPr>
        <w:pStyle w:val="Style12"/>
        <w:framePr w:w="9427" w:h="5414" w:hRule="exact" w:wrap="around" w:vAnchor="page" w:hAnchor="page" w:x="1253" w:y="1038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момент разработки настоящей Программы система утилизации, обезвреживания и захоронения твердых коммунальных отходов на территории сельского поселения отсутствует, сбор, и вывоз твердых коммунальных отходов организован.</w:t>
      </w:r>
    </w:p>
    <w:p>
      <w:pPr>
        <w:pStyle w:val="Style12"/>
        <w:framePr w:w="9427" w:h="5414" w:hRule="exact" w:wrap="around" w:vAnchor="page" w:hAnchor="page" w:x="1253" w:y="1038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в области обращения с отходами на территории сельского поселения Тамбовское отсутствует, Генеральным планом предлагается ликвидация стихийных свалок, организация раздельного сбора бытового мусора населением, рекультивация земель, захламленных стихийными свалками, разработка генеральной схемы санитарной очистки.</w:t>
      </w:r>
    </w:p>
    <w:p>
      <w:pPr>
        <w:pStyle w:val="Style12"/>
        <w:framePr w:w="9427" w:h="5414" w:hRule="exact" w:wrap="around" w:vAnchor="page" w:hAnchor="page" w:x="1253" w:y="1038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Определение прогнозируемого спроса на накопление ТКО от жилых зданий определено на основании Приказа Министерства инфраструктуры и цифрового развития Кабардино-Балкарской Республики от 05.10.2018 года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№79-п «Об утверждении нормативов накопления твердых коммунальных отходов на территории Кабардино-Балкарской Республики» и в соответствии с Приложением к Приказу: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ТКО на 1 проживающего в многоквартирном доме составляет - 2,79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/год;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крупногабаритных отходов (далее - КГО) на 1 проживающего в многоквартирном доме составляет - 0,20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/год;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ТКО на 1 проживающего в жилом доме составляет - 2,96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/год;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 КГО на 1 проживающего в жилом доме составляет - 0,21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/год.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Объемы образования ТКО от промышленных объектов представлены в неучтенных расходах в размере 10%.</w:t>
      </w:r>
    </w:p>
    <w:p>
      <w:pPr>
        <w:pStyle w:val="Style12"/>
        <w:framePr w:w="9581" w:h="6216" w:hRule="exact" w:wrap="around" w:vAnchor="page" w:hAnchor="page" w:x="1176" w:y="809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объемов накопления ТКО сельского поселения Тамбовское приведен в таблице:</w:t>
      </w:r>
    </w:p>
    <w:p>
      <w:pPr>
        <w:pStyle w:val="Style32"/>
        <w:framePr w:w="9336" w:h="520" w:hRule="exact" w:wrap="around" w:vAnchor="page" w:hAnchor="page" w:x="1296" w:y="73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14. Прогнозируемый спрос на накопление твердых коммунальных отходов,</w:t>
      </w:r>
    </w:p>
    <w:p>
      <w:pPr>
        <w:pStyle w:val="Style32"/>
        <w:framePr w:w="9336" w:h="520" w:hRule="exact" w:wrap="around" w:vAnchor="page" w:hAnchor="page" w:x="1296" w:y="73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700" w:right="0" w:firstLine="0"/>
      </w:pPr>
      <w:r>
        <w:rPr>
          <w:lang w:val="ru-RU" w:eastAsia="ru-RU" w:bidi="ru-RU"/>
          <w:vertAlign w:val="subscript"/>
          <w:w w:val="100"/>
          <w:color w:val="000000"/>
          <w:position w:val="0"/>
        </w:rPr>
        <w:t>3</w:t>
      </w:r>
    </w:p>
    <w:p>
      <w:pPr>
        <w:pStyle w:val="Style32"/>
        <w:framePr w:w="9336" w:h="520" w:hRule="exact" w:wrap="around" w:vAnchor="page" w:hAnchor="page" w:x="1296" w:y="73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тыс. м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3</w:t>
      </w:r>
    </w:p>
    <w:tbl>
      <w:tblPr>
        <w:tblOverlap w:val="never"/>
        <w:tblLayout w:type="fixed"/>
        <w:jc w:val="left"/>
      </w:tblPr>
      <w:tblGrid>
        <w:gridCol w:w="3653"/>
        <w:gridCol w:w="984"/>
        <w:gridCol w:w="984"/>
        <w:gridCol w:w="984"/>
        <w:gridCol w:w="984"/>
        <w:gridCol w:w="989"/>
        <w:gridCol w:w="994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накопления ТКО от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5,32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5,48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Объем накапливаемых КГО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0,39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Неучтенные расходы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0,59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Объем накапливаемых ТКО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39"/>
              </w:rPr>
              <w:t>6,27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6,46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накопления ТКО от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5,51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5,67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Объем накапливаемых КГО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Неучтенные расходы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0,61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Объем накапливаемых ТКО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39"/>
              </w:rPr>
              <w:t>6,50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6,69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Объем накопления ТКО от жилых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5,71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5,81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5,87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Объем накапливаемых КГО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0,42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Неучтенные расходы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0,61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0,63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Объем накапливаемых ТКО в целом на поселение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39"/>
              </w:rPr>
              <w:t>6,73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6,88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6538" w:wrap="around" w:vAnchor="page" w:hAnchor="page" w:x="1181" w:y="7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6,92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581" w:h="12565" w:hRule="exact" w:wrap="around" w:vAnchor="page" w:hAnchor="page" w:x="1176" w:y="849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20" w:right="0" w:firstLine="680"/>
      </w:pPr>
      <w:bookmarkStart w:id="52" w:name="bookmark52"/>
      <w:bookmarkStart w:id="53" w:name="bookmark53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ОБОСНОВАНИЕ ЦЕЛЕВЫХ ПОКАЗАТЕЛЕЙ КОМПЛЕКСНОГО</w:t>
      </w:r>
      <w:bookmarkEnd w:id="52"/>
      <w:bookmarkEnd w:id="53"/>
    </w:p>
    <w:p>
      <w:pPr>
        <w:pStyle w:val="Style23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spacing w:before="0" w:after="266" w:line="326" w:lineRule="exact"/>
        <w:ind w:left="0" w:right="20" w:firstLine="0"/>
      </w:pPr>
      <w:bookmarkStart w:id="54" w:name="bookmark54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РАЗВИТИЯ КОММУНАЛЬНОЙ ИНФРАСТРУКТУРЫ, А ТАКЖЕ МЕРОПРИЯТИЙ, ВХОДЯЩИХ В ПЛАН ЗАСТРОЙКИ</w:t>
      </w:r>
      <w:bookmarkEnd w:id="54"/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6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анализе комплексного развития систем коммунальной инфраструктуры можно выделить такие целевые показатели, как: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спроса на коммунальные ресурсы и перспективной нагрузки (по каждому виду коммунального ресурса);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изменение уровня загрузки мощностей и уровень соответствия мощностей объектов коммунальной инфраструктуры потребностям потребителей;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center"/>
        <w:spacing w:before="0" w:after="29" w:line="24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качества поставляемого коммунального ресурса;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степени охвата потребителей приборами учета (с выделением многоквартирных домов и бюджетных организаций);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надежности по каждой системе ресурсоснабжения (количество аварий и повреждений на 1 км инженерных сетей, износ коммунальных сетей, протяженность сетей, нуждающихся в замене);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эффективности производства и транспортировки ресурсов по каждой системе ресурсоснабжения (удельные расходы топлива и энергии, проценты собственных нужд, проценты потерь в сетях);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20" w:right="12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эффективности потребления каждого вида коммунального ресурса (удельные расходы каждого вида ресурса на 1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, на 1 чел.);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12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показатели воздействия на окружающую среду;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120" w:right="0" w:firstLine="86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 критерии доступности для населения коммунальных услуг.</w:t>
      </w:r>
    </w:p>
    <w:p>
      <w:pPr>
        <w:pStyle w:val="Style12"/>
        <w:framePr w:w="9581" w:h="12565" w:hRule="exact" w:wrap="around" w:vAnchor="page" w:hAnchor="page" w:x="1176" w:y="84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6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анализируются по каждому виду коммунальных услуг (за исключением критериев доступности для населения коммунальных услуг, которые анализируются в комплексе по всем видам коммунальных услуг) и периодически пересматриваются и актуализируются. Перечень целевых показателей комплексного развития коммунальной инфраструктуры приведен в таблице:</w:t>
      </w:r>
    </w:p>
    <w:p>
      <w:pPr>
        <w:pStyle w:val="Style32"/>
        <w:framePr w:wrap="around" w:vAnchor="page" w:hAnchor="page" w:x="1306" w:y="1369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15. Перечень целевых показателей</w:t>
      </w:r>
    </w:p>
    <w:tbl>
      <w:tblPr>
        <w:tblOverlap w:val="never"/>
        <w:tblLayout w:type="fixed"/>
        <w:jc w:val="left"/>
      </w:tblPr>
      <w:tblGrid>
        <w:gridCol w:w="552"/>
        <w:gridCol w:w="9019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39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Показатели развития системы коммунальной инфраструктуры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40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40"/>
              </w:rPr>
              <w:t>Изменение спроса на коммунальные ресурсы, в процентах к базовому периоду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40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40"/>
              </w:rPr>
              <w:t>Нагрузка, в абсолютных значениях за каждый рассматриваемый период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40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40"/>
              </w:rPr>
              <w:t>Изменение уровня загрузки мощностей, в процентах к базовому периоду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40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71" w:h="1982" w:wrap="around" w:vAnchor="page" w:hAnchor="page" w:x="1181" w:y="139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20" w:right="0" w:firstLine="0"/>
            </w:pPr>
            <w:r>
              <w:rPr>
                <w:rStyle w:val="CharStyle40"/>
              </w:rPr>
              <w:t>Уровень соответствия мощностей объектов коммунальной инфраструктуры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52"/>
        <w:gridCol w:w="9019"/>
      </w:tblGrid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71" w:h="13565" w:wrap="around" w:vAnchor="page" w:hAnchor="page" w:x="1181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потребностям потребителей (резерв/дефицит), в процентах за каждый рассматриваемый период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Показатели эффективности функционирования системы коммунальной</w:t>
            </w:r>
          </w:p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инфраструктуры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Удельный расход топлива на выработку 1 ед. коммунального ресурса, кг у.т.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Удельные расходы энергоресурсов на выработку 1 ед. коммунального ресурса, в абсолютных значениях за каждый рассматриваемый период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Доля расхода коммунального ресурса на собственные нужды, в процентах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Доля потерь коммунального ресурса в сетях, в процентах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Удельные потери коммунального ресурса на 1 км сетей, в абсолютных значениях за каждый рассматриваемый период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Удельный расход коммунального ресурса на 1 чел. (на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жилой площади), в абсолютных значениях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2.7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Уровень оснащенности приборами учета потребителей коммунального ресурса, в процентах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Показатели надежности функционирования системы коммунальной</w:t>
            </w:r>
          </w:p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инфраструктуры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Количество аварий на километр сетей, в абсолютных значениях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Уровень физического износа объектов и сетей (по данным бухгалтерского учета), в процентах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3.3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Доля ежегодно заменяемых сетей, в процентах от общей протяженности за каждый рассматриваемый период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Показатели качества поставляемого коммунального ресурса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Показатели, установленные согласно ГОСТам, санитарно-эпидемиологическим нормам и правилам и др. нормативным документам, за каждый рассматриваемый период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Показатели воздействия на окружающую среду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Удельные выбросы загрязняющих веществ в окружающую среду, за каждый рассматриваемый период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3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Критерии доступности для населения коммунальных услуг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6.1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Доля расходов на коммунальные услуги в совокупном доходе семьи, в процентах за каждый рассматриваемый период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6.2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Доля населения с доходами ниже прожиточного минимума, в процентах за каждый рассматриваемый период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6.3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20" w:right="0" w:firstLine="0"/>
            </w:pPr>
            <w:r>
              <w:rPr>
                <w:rStyle w:val="CharStyle40"/>
              </w:rPr>
              <w:t>Уровень собираемости платежей за коммунальные услуги, в процентах за каждый рассматриваемый период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40"/>
              </w:rPr>
              <w:t>6.4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571" w:h="13565" w:wrap="around" w:vAnchor="page" w:hAnchor="page" w:x="1181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20" w:right="0" w:firstLine="0"/>
            </w:pPr>
            <w:r>
              <w:rPr>
                <w:rStyle w:val="CharStyle40"/>
              </w:rPr>
              <w:t>Доля получателей субсидий на оплату коммунальных услуг в общей численности населения, в процентах за каждый рассматриваемый период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35"/>
        </w:numPr>
        <w:framePr w:w="9581" w:h="6117" w:hRule="exact" w:wrap="around" w:vAnchor="page" w:hAnchor="page" w:x="1176" w:y="884"/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120" w:right="0" w:firstLine="0"/>
      </w:pPr>
      <w:bookmarkStart w:id="55" w:name="bookmark55"/>
      <w:bookmarkStart w:id="56" w:name="bookmark56"/>
      <w:r>
        <w:rPr>
          <w:rStyle w:val="CharStyle31"/>
        </w:rPr>
        <w:t>Обоснование мероприятий, входящих в план застройки</w:t>
      </w:r>
      <w:bookmarkEnd w:id="55"/>
      <w:bookmarkEnd w:id="56"/>
    </w:p>
    <w:p>
      <w:pPr>
        <w:pStyle w:val="Style12"/>
        <w:framePr w:w="9581" w:h="6117" w:hRule="exact" w:wrap="around" w:vAnchor="page" w:hAnchor="page" w:x="1176" w:y="88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предполагается сохранение и реновация существующего жилого фонда, размещение нового жил</w:t>
      </w:r>
      <w:r>
        <w:rPr>
          <w:rStyle w:val="CharStyle28"/>
        </w:rPr>
        <w:t>ищн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 строительства.</w:t>
      </w:r>
    </w:p>
    <w:p>
      <w:pPr>
        <w:pStyle w:val="Style12"/>
        <w:framePr w:w="9581" w:h="6117" w:hRule="exact" w:wrap="around" w:vAnchor="page" w:hAnchor="page" w:x="1176" w:y="88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Под градостроительное освоение на перспективу предлагается развитие жилой и общественной застройки, с применением при создании новых объектов социальной инфраструктуры, блокирования близких по функции объектов, а также многофункциональное использование их отдельных элементов и выбора направления и масштаба дальнейшего развития поселения с учетом инженерно-строительных, природоохранных и планировочных условий.</w:t>
      </w:r>
    </w:p>
    <w:p>
      <w:pPr>
        <w:pStyle w:val="Style12"/>
        <w:framePr w:w="9581" w:h="6117" w:hRule="exact" w:wrap="around" w:vAnchor="page" w:hAnchor="page" w:x="1176" w:y="88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мероприятия позволят увеличить степень благоустройства жилья, капитальность здания и показатель жилищной обеспеченности.</w:t>
      </w:r>
    </w:p>
    <w:p>
      <w:pPr>
        <w:pStyle w:val="Style12"/>
        <w:framePr w:w="9581" w:h="6117" w:hRule="exact" w:wrap="around" w:vAnchor="page" w:hAnchor="page" w:x="1176" w:y="88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план жилой застройки в сельском поселении в соответствии с прогнозируемой численностью населения приведен в таблице ниже.</w:t>
      </w:r>
    </w:p>
    <w:p>
      <w:pPr>
        <w:pStyle w:val="Style32"/>
        <w:framePr w:wrap="around" w:vAnchor="page" w:hAnchor="page" w:x="1301" w:y="72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16. Прогнозируемый план жилой застройки в сельском поселении</w:t>
      </w:r>
    </w:p>
    <w:tbl>
      <w:tblPr>
        <w:tblOverlap w:val="never"/>
        <w:tblLayout w:type="fixed"/>
        <w:jc w:val="left"/>
      </w:tblPr>
      <w:tblGrid>
        <w:gridCol w:w="3653"/>
        <w:gridCol w:w="984"/>
        <w:gridCol w:w="984"/>
        <w:gridCol w:w="984"/>
        <w:gridCol w:w="984"/>
        <w:gridCol w:w="989"/>
        <w:gridCol w:w="994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2018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40"/>
              </w:rPr>
              <w:t>Средняя обеспеченность жилищным фондом, м</w:t>
            </w:r>
            <w:r>
              <w:rPr>
                <w:rStyle w:val="CharStyle40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16,87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16,93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17,20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Жилищный фонд, тыс. кв.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31,24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31,54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31,85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32,16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32,47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32,79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40"/>
              </w:rPr>
              <w:t>Средняя обеспеченность жилищным фондом, м</w:t>
            </w:r>
            <w:r>
              <w:rPr>
                <w:rStyle w:val="CharStyle40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17,60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Жилищный фонд, тыс. кв.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33,11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33,43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33,75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34,08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34,41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34,74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00" w:right="0" w:firstLine="0"/>
            </w:pPr>
            <w:r>
              <w:rPr>
                <w:rStyle w:val="CharStyle40"/>
              </w:rPr>
              <w:t>Средняя обеспеченность жилищным фондом, м</w:t>
            </w:r>
            <w:r>
              <w:rPr>
                <w:rStyle w:val="CharStyle40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17,67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17,93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Жилищный фонд, тыс. кв.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35,07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35,41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35,75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36,09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36,43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71" w:h="3806" w:wrap="around" w:vAnchor="page" w:hAnchor="page" w:x="1181" w:y="75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36,78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60" w:h="14560" w:hRule="exact" w:wrap="around" w:vAnchor="page" w:hAnchor="page" w:x="1288" w:y="840"/>
        <w:tabs>
          <w:tab w:leader="none" w:pos="5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374" w:lineRule="exact"/>
        <w:ind w:left="1440" w:right="20" w:hanging="1320"/>
      </w:pPr>
      <w:bookmarkStart w:id="57" w:name="bookmark57"/>
      <w:bookmarkStart w:id="58" w:name="bookmark58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ХАРАКТЕРИСТИКА СОСТОЯНИЯ И ПРОБЛЕМ СООТВЕТСТВУЮЩЕЙ СИСТЕМЫ КОММУНАЛЬНОЙ ИНФРАСТРУКТУРЫ</w:t>
      </w:r>
      <w:bookmarkEnd w:id="57"/>
      <w:bookmarkEnd w:id="58"/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Коммунальная инфраструктура сельского поселения Тамбовское представлена следующими системами:</w:t>
      </w:r>
    </w:p>
    <w:p>
      <w:pPr>
        <w:pStyle w:val="Style12"/>
        <w:framePr w:w="9360" w:h="14560" w:hRule="exact" w:wrap="around" w:vAnchor="page" w:hAnchor="page" w:x="1288" w:y="840"/>
        <w:tabs>
          <w:tab w:leader="none" w:pos="1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электроснабжения;</w:t>
      </w:r>
    </w:p>
    <w:p>
      <w:pPr>
        <w:pStyle w:val="Style12"/>
        <w:framePr w:w="9360" w:h="14560" w:hRule="exact" w:wrap="around" w:vAnchor="page" w:hAnchor="page" w:x="1288" w:y="840"/>
        <w:tabs>
          <w:tab w:leader="none" w:pos="1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газоснабжения;</w:t>
      </w:r>
    </w:p>
    <w:p>
      <w:pPr>
        <w:pStyle w:val="Style12"/>
        <w:framePr w:w="9360" w:h="14560" w:hRule="exact" w:wrap="around" w:vAnchor="page" w:hAnchor="page" w:x="1288" w:y="840"/>
        <w:tabs>
          <w:tab w:leader="none" w:pos="1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теплоснабжения;</w:t>
      </w:r>
    </w:p>
    <w:p>
      <w:pPr>
        <w:pStyle w:val="Style12"/>
        <w:framePr w:w="9360" w:h="14560" w:hRule="exact" w:wrap="around" w:vAnchor="page" w:hAnchor="page" w:x="1288" w:y="840"/>
        <w:tabs>
          <w:tab w:leader="none" w:pos="13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водоснабжения;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524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Системы горячего водоснабжения и водоотведения, а также утилизации, обезвреживания и захоронения твердых коммунальных отходов на момент разработки настоящей Программы на территории сельского поселения отсутствуют.</w:t>
      </w:r>
    </w:p>
    <w:p>
      <w:pPr>
        <w:pStyle w:val="Style12"/>
        <w:numPr>
          <w:ilvl w:val="1"/>
          <w:numId w:val="35"/>
        </w:numPr>
        <w:framePr w:w="9360" w:h="14560" w:hRule="exact" w:wrap="around" w:vAnchor="page" w:hAnchor="page" w:x="1288" w:y="840"/>
        <w:tabs>
          <w:tab w:leader="none" w:pos="5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" w:line="240" w:lineRule="exact"/>
        <w:ind w:left="0" w:right="0" w:firstLine="0"/>
      </w:pPr>
      <w:bookmarkStart w:id="59" w:name="bookmark59"/>
      <w:r>
        <w:rPr>
          <w:rStyle w:val="CharStyle28"/>
        </w:rPr>
        <w:t>Характеристика системы электроснабжения</w:t>
      </w:r>
      <w:bookmarkEnd w:id="59"/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Электроснабжение сельского поселения Тамбовское осуществляется от энергосистемы ПАО «МРСК Северного Кавказа» - филиал АО «Каббалкэнерго» (Производственный участок - Терские районные электрические сети).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Электроснабжение потребителей сельского поселения осуществляется от ПС 110/35/10 кВ «В. Акбаш».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Прокладка электросетей воздушная. Для понижения напряжения до 0,4 кВ построены и установлены ТП в количестве 3 (трех) единиц, с суммарной мощностью 660 кВа. Фактическая нагрузка - 60%.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27" w:line="24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построения сетей - радиально-кольцевая.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сетей линии электропередачи по Базе данных по муниципальным образованиям Кабардино-Балкарской Республики, Управления Федеральной службы государственной статистики по Северо</w:t>
        <w:softHyphen/>
        <w:t>Кавказскому Федеральному округу составляет -20,550 км.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энергетического оборудования ПС и энергетических сетей составляет - 70%.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Основными проблемами, связанными с обслуживанием энергетического хозяйства, являются: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основного энергетического оборудования;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высокий уровень потерь;</w:t>
      </w:r>
    </w:p>
    <w:p>
      <w:pPr>
        <w:pStyle w:val="Style12"/>
        <w:framePr w:w="9360" w:h="14560" w:hRule="exact" w:wrap="around" w:vAnchor="page" w:hAnchor="page" w:x="1288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недостаточность мощности;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27" w:h="10193" w:hRule="exact" w:wrap="around" w:vAnchor="page" w:hAnchor="page" w:x="1254" w:y="766"/>
        <w:tabs>
          <w:tab w:leader="none" w:pos="1367" w:val="left"/>
          <w:tab w:leader="none" w:pos="62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9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необходимость реконструкции ПС</w:t>
        <w:tab/>
        <w:t>и замена устаревших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трансформаторов.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52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Необходима модернизация опорных ТП, снабжающих сельское поселение электроэнергией, реконструкция линий электропередач и разводящих сетей с применением новых энергосберегающих технологий и современных материалов, реконструкция уличного освещения.</w:t>
      </w:r>
    </w:p>
    <w:p>
      <w:pPr>
        <w:pStyle w:val="Style29"/>
        <w:numPr>
          <w:ilvl w:val="1"/>
          <w:numId w:val="35"/>
        </w:numPr>
        <w:framePr w:w="9427" w:h="10193" w:hRule="exact" w:wrap="around" w:vAnchor="page" w:hAnchor="page" w:x="1254" w:y="766"/>
        <w:tabs>
          <w:tab w:leader="none" w:pos="6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" w:line="240" w:lineRule="exact"/>
        <w:ind w:left="40" w:right="0" w:firstLine="0"/>
      </w:pPr>
      <w:bookmarkStart w:id="60" w:name="bookmark60"/>
      <w:bookmarkStart w:id="61" w:name="bookmark61"/>
      <w:r>
        <w:rPr>
          <w:rStyle w:val="CharStyle31"/>
        </w:rPr>
        <w:t>Характеристика системы газоснабжения</w:t>
      </w:r>
      <w:bookmarkEnd w:id="60"/>
      <w:bookmarkEnd w:id="61"/>
    </w:p>
    <w:p>
      <w:pPr>
        <w:pStyle w:val="Style12"/>
        <w:framePr w:w="9427" w:h="10193" w:hRule="exact" w:wrap="around" w:vAnchor="page" w:hAnchor="page" w:x="1254" w:y="766"/>
        <w:tabs>
          <w:tab w:leader="none" w:pos="4266" w:val="left"/>
          <w:tab w:leader="none" w:pos="938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Газоснабжение сельского</w:t>
        <w:tab/>
        <w:t>поселения</w:t>
        <w:tab/>
        <w:t>Тамбовское осуществляет</w:t>
      </w:r>
    </w:p>
    <w:p>
      <w:pPr>
        <w:pStyle w:val="Style12"/>
        <w:framePr w:w="9427" w:h="10193" w:hRule="exact" w:wrap="around" w:vAnchor="page" w:hAnchor="page" w:x="1254" w:y="766"/>
        <w:tabs>
          <w:tab w:leader="none" w:pos="1368" w:val="left"/>
          <w:tab w:leader="none" w:pos="6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общество</w:t>
        <w:tab/>
        <w:t>с ограниченной ответственностью</w:t>
        <w:tab/>
        <w:t>«Газпром межрегионгаз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Пятигорск».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Организация, эксплуатирующая объекты газоснабжения - Филиал АО «Газпром газораспределение Нальчик» в Терском районе.</w:t>
      </w:r>
    </w:p>
    <w:p>
      <w:pPr>
        <w:pStyle w:val="Style12"/>
        <w:framePr w:w="9427" w:h="10193" w:hRule="exact" w:wrap="around" w:vAnchor="page" w:hAnchor="page" w:x="1254" w:y="766"/>
        <w:tabs>
          <w:tab w:leader="none" w:pos="4243" w:val="left"/>
          <w:tab w:leader="none" w:pos="938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газоснабжения сельского поселения Тамбовское запитана через систему магистрального</w:t>
        <w:tab/>
        <w:t>газопровода</w:t>
        <w:tab/>
        <w:t>«Ставрополь-Грозный» на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газораспределительную станцию ГРС «Дейское».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Общая протяженность газовой сети на территории сельского поселения Тамбовское составляет - 24032,5 м, в том числе:</w:t>
      </w:r>
    </w:p>
    <w:p>
      <w:pPr>
        <w:pStyle w:val="Style12"/>
        <w:framePr w:w="9427" w:h="10193" w:hRule="exact" w:wrap="around" w:vAnchor="page" w:hAnchor="page" w:x="1254" w:y="766"/>
        <w:tabs>
          <w:tab w:leader="none" w:pos="13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сетей высокого давления - 4564,0 м;</w:t>
      </w:r>
    </w:p>
    <w:p>
      <w:pPr>
        <w:pStyle w:val="Style12"/>
        <w:framePr w:w="9427" w:h="10193" w:hRule="exact" w:wrap="around" w:vAnchor="page" w:hAnchor="page" w:x="1254" w:y="766"/>
        <w:tabs>
          <w:tab w:leader="none" w:pos="13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сетей низкого давления - 19468,5 м, в том числе: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right"/>
        <w:spacing w:before="0" w:after="0" w:line="461" w:lineRule="exact"/>
        <w:ind w:left="0" w:right="28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сетей низкого давления надземной прокладки - 12442,5 м;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right"/>
        <w:spacing w:before="0" w:after="23" w:line="240" w:lineRule="exact"/>
        <w:ind w:left="0" w:right="42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сетей низкого давления подземной прокладки - 7026,0 м.</w:t>
      </w:r>
    </w:p>
    <w:p>
      <w:pPr>
        <w:pStyle w:val="Style12"/>
        <w:framePr w:w="9427" w:h="10193" w:hRule="exact" w:wrap="around" w:vAnchor="page" w:hAnchor="page" w:x="1254" w:y="766"/>
        <w:tabs>
          <w:tab w:leader="none" w:pos="4144" w:val="right"/>
          <w:tab w:leader="none" w:pos="4349" w:val="left"/>
          <w:tab w:leader="none" w:pos="938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 газопроводам низкого давления транспортируют и распределяют газ по</w:t>
        <w:tab/>
        <w:t>жилым и общественным</w:t>
        <w:tab/>
        <w:t>зданиям и</w:t>
        <w:tab/>
        <w:t>предприятиям бытового</w:t>
      </w:r>
    </w:p>
    <w:p>
      <w:pPr>
        <w:pStyle w:val="Style12"/>
        <w:framePr w:w="9427" w:h="10193" w:hRule="exact" w:wrap="around" w:vAnchor="page" w:hAnchor="page" w:x="1254" w:y="76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обслуживания.</w:t>
      </w:r>
    </w:p>
    <w:p>
      <w:pPr>
        <w:pStyle w:val="Style18"/>
        <w:framePr w:w="9365" w:h="1189" w:hRule="exact" w:wrap="around" w:vAnchor="page" w:hAnchor="page" w:x="1297" w:y="10958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Технические характеристики газопровода сельского поселения Тамбовское представлены в таблице:</w:t>
      </w:r>
    </w:p>
    <w:p>
      <w:pPr>
        <w:pStyle w:val="Style32"/>
        <w:framePr w:w="9365" w:h="1189" w:hRule="exact" w:wrap="around" w:vAnchor="page" w:hAnchor="page" w:x="1297" w:y="10958"/>
        <w:tabs>
          <w:tab w:leader="underscore" w:pos="93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17. Характеристики газопровода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2030"/>
        <w:gridCol w:w="1238"/>
        <w:gridCol w:w="1238"/>
        <w:gridCol w:w="1238"/>
        <w:gridCol w:w="1238"/>
        <w:gridCol w:w="1238"/>
        <w:gridCol w:w="1195"/>
      </w:tblGrid>
      <w:tr>
        <w:trPr>
          <w:trHeight w:val="29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Наименование</w:t>
            </w:r>
          </w:p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сельского</w:t>
            </w:r>
          </w:p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поселения</w:t>
            </w: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Протяженность газопровода по типу давления, м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418" w:h="3739" w:wrap="around" w:vAnchor="page" w:hAnchor="page" w:x="1259" w:y="12099"/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высокого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среднего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низкого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418" w:h="3739" w:wrap="around" w:vAnchor="page" w:hAnchor="page" w:x="1259" w:y="1209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140" w:firstLine="0"/>
            </w:pPr>
            <w:r>
              <w:rPr>
                <w:rStyle w:val="CharStyle39"/>
              </w:rPr>
              <w:t>подземн.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надземн.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подземн.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надземн.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140" w:firstLine="0"/>
            </w:pPr>
            <w:r>
              <w:rPr>
                <w:rStyle w:val="CharStyle39"/>
              </w:rPr>
              <w:t>подземн.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180" w:firstLine="0"/>
            </w:pPr>
            <w:r>
              <w:rPr>
                <w:rStyle w:val="CharStyle39"/>
              </w:rPr>
              <w:t>надземн.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40"/>
              </w:rPr>
              <w:t>2 321,0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367,0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80" w:firstLine="0"/>
            </w:pPr>
            <w:r>
              <w:rPr>
                <w:rStyle w:val="CharStyle40"/>
              </w:rPr>
              <w:t>132,0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40"/>
              </w:rPr>
              <w:t>1 087,0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125,0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40"/>
              </w:rPr>
              <w:t>789,0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624,0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551,0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40"/>
              </w:rPr>
              <w:t>326,0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69,0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906,0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41,0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40"/>
              </w:rPr>
              <w:t>4 286,0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7 333,0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68,0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95,0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8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1 124,0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3739" w:wrap="around" w:vAnchor="page" w:hAnchor="page" w:x="1259" w:y="120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656,0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030"/>
        <w:gridCol w:w="1238"/>
        <w:gridCol w:w="1238"/>
        <w:gridCol w:w="1238"/>
        <w:gridCol w:w="1238"/>
        <w:gridCol w:w="1238"/>
        <w:gridCol w:w="1195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306,0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2 769,5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сп. 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18" w:h="869" w:wrap="around" w:vAnchor="page" w:hAnchor="page" w:x="1259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</w:t>
            </w:r>
          </w:p>
        </w:tc>
      </w:tr>
    </w:tbl>
    <w:p>
      <w:pPr>
        <w:pStyle w:val="Style12"/>
        <w:framePr w:w="9523" w:h="5793" w:hRule="exact" w:wrap="around" w:vAnchor="page" w:hAnchor="page" w:x="1206" w:y="210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80" w:right="8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 потребителем газа в сельском поселении Тамбовское является население.</w:t>
      </w:r>
    </w:p>
    <w:p>
      <w:pPr>
        <w:pStyle w:val="Style12"/>
        <w:framePr w:w="9523" w:h="5793" w:hRule="exact" w:wrap="around" w:vAnchor="page" w:hAnchor="page" w:x="1206" w:y="210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80" w:right="8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возможности отключения участков газопроводов высокого и среднего давлений, отдельных зон сетей низкого давления, сооружений на сетях и жилых, общественных и промышленных зданий или групп зданий устанавливают отключающие устройства — задвижки или пробковые краны.</w:t>
      </w:r>
    </w:p>
    <w:p>
      <w:pPr>
        <w:pStyle w:val="Style12"/>
        <w:framePr w:w="9523" w:h="5793" w:hRule="exact" w:wrap="around" w:vAnchor="page" w:hAnchor="page" w:x="1206" w:y="210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80" w:right="8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Задвижки устанавливают на вводах и выводах из ГРП, на ответвлениях от уличных газопроводов к микрорайонам, кварталам, группам жилых домов. Задвижки на наружных газопроводах располагают поверх газопроводов. Задвижки на вводах в здания монтируют на стенах, выдерживая определенные расстояния от дверных и оконных проемов. При расположении арматуры на высоте более 2,2 м предусматривают площадки с лестницами для их обслуживания.</w:t>
      </w:r>
    </w:p>
    <w:p>
      <w:pPr>
        <w:pStyle w:val="Style12"/>
        <w:framePr w:w="9523" w:h="5793" w:hRule="exact" w:wrap="around" w:vAnchor="page" w:hAnchor="page" w:x="1206" w:y="210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80" w:right="8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Сводная ведомость газового оборудования и запорной арматуры представлена в таблице:</w:t>
      </w:r>
    </w:p>
    <w:p>
      <w:pPr>
        <w:pStyle w:val="Style32"/>
        <w:framePr w:wrap="around" w:vAnchor="page" w:hAnchor="page" w:x="1302" w:y="79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18. Сводная ведомость газового оборудования и запорной арматуры</w:t>
      </w:r>
    </w:p>
    <w:tbl>
      <w:tblPr>
        <w:tblOverlap w:val="never"/>
        <w:tblLayout w:type="fixed"/>
        <w:jc w:val="left"/>
      </w:tblPr>
      <w:tblGrid>
        <w:gridCol w:w="595"/>
        <w:gridCol w:w="528"/>
        <w:gridCol w:w="1507"/>
        <w:gridCol w:w="994"/>
        <w:gridCol w:w="850"/>
        <w:gridCol w:w="1234"/>
        <w:gridCol w:w="768"/>
        <w:gridCol w:w="763"/>
        <w:gridCol w:w="859"/>
        <w:gridCol w:w="658"/>
        <w:gridCol w:w="758"/>
      </w:tblGrid>
      <w:tr>
        <w:trPr>
          <w:trHeight w:val="85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24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6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gridSpan w:val="2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Место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расположения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участка</w:t>
            </w:r>
          </w:p>
        </w:tc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Вид давления газа</w:t>
            </w:r>
          </w:p>
        </w:tc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Диаметр (мм)</w:t>
            </w:r>
          </w:p>
        </w:tc>
        <w:tc>
          <w:tcPr>
            <w:shd w:val="clear" w:color="auto" w:fill="FFFFFF"/>
            <w:vMerge w:val="restart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Протяженность, м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Количество оборудования (шт.)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Запорная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арматура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(шт.)</w:t>
            </w:r>
          </w:p>
        </w:tc>
      </w:tr>
      <w:tr>
        <w:trPr>
          <w:trHeight w:val="131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14" w:h="6883" w:wrap="around" w:vAnchor="page" w:hAnchor="page" w:x="1211" w:y="8233"/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</w:tcBorders>
            <w:vAlign w:val="top"/>
          </w:tcPr>
          <w:p>
            <w:pPr>
              <w:framePr w:w="9514" w:h="6883" w:wrap="around" w:vAnchor="page" w:hAnchor="page" w:x="1211" w:y="8233"/>
            </w:pPr>
          </w:p>
        </w:tc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9514" w:h="6883" w:wrap="around" w:vAnchor="page" w:hAnchor="page" w:x="1211" w:y="8233"/>
            </w:pPr>
          </w:p>
        </w:tc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9514" w:h="6883" w:wrap="around" w:vAnchor="page" w:hAnchor="page" w:x="1211" w:y="8233"/>
            </w:pPr>
          </w:p>
        </w:tc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9514" w:h="6883" w:wrap="around" w:vAnchor="page" w:hAnchor="page" w:x="1211" w:y="823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9" w:lineRule="exact"/>
              <w:ind w:left="0" w:right="240" w:firstLine="0"/>
            </w:pPr>
            <w:r>
              <w:rPr>
                <w:rStyle w:val="CharStyle39"/>
              </w:rPr>
              <w:t>В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9" w:lineRule="exact"/>
              <w:ind w:left="0" w:right="240" w:firstLine="0"/>
            </w:pPr>
            <w:r>
              <w:rPr>
                <w:rStyle w:val="CharStyle42"/>
              </w:rPr>
              <w:t>Рч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9" w:lineRule="exact"/>
              <w:ind w:left="0" w:right="0" w:firstLine="0"/>
            </w:pPr>
            <w:r>
              <w:rPr>
                <w:rStyle w:val="CharStyle42"/>
                <w:lang w:val="en-US" w:eastAsia="en-US" w:bidi="en-US"/>
              </w:rPr>
              <w:t>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39"/>
              </w:rPr>
              <w:t>В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43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44"/>
              </w:rPr>
              <w:t>п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42"/>
              </w:rPr>
              <w:t>Рч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00" w:firstLine="0"/>
            </w:pPr>
            <w:r>
              <w:rPr>
                <w:rStyle w:val="CharStyle42"/>
              </w:rPr>
              <w:t>Я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00" w:firstLine="0"/>
            </w:pPr>
            <w:r>
              <w:rPr>
                <w:rStyle w:val="CharStyle42"/>
              </w:rPr>
              <w:t>а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00" w:firstLine="0"/>
            </w:pPr>
            <w:r>
              <w:rPr>
                <w:rStyle w:val="CharStyle44"/>
              </w:rPr>
              <w:t>%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00" w:firstLine="0"/>
            </w:pPr>
            <w:r>
              <w:rPr>
                <w:rStyle w:val="CharStyle42"/>
              </w:rPr>
              <w:t>Я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00" w:firstLine="0"/>
            </w:pPr>
            <w:r>
              <w:rPr>
                <w:rStyle w:val="CharStyle42"/>
              </w:rPr>
              <w:t>И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00" w:firstLine="0"/>
            </w:pPr>
            <w:r>
              <w:rPr>
                <w:rStyle w:val="CharStyle42"/>
              </w:rPr>
              <w:t>ч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90" w:lineRule="exact"/>
              <w:ind w:left="0" w:right="200" w:firstLine="0"/>
            </w:pPr>
            <w:r>
              <w:rPr>
                <w:rStyle w:val="CharStyle45"/>
              </w:rPr>
              <w:t>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42"/>
              </w:rPr>
              <w:t>л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5" w:lineRule="exact"/>
              <w:ind w:left="0" w:right="0" w:firstLine="0"/>
            </w:pPr>
            <w:r>
              <w:rPr>
                <w:rStyle w:val="CharStyle42"/>
              </w:rPr>
              <w:t>Я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5" w:lineRule="exact"/>
              <w:ind w:left="0" w:right="0" w:firstLine="0"/>
            </w:pPr>
            <w:r>
              <w:rPr>
                <w:rStyle w:val="CharStyle40"/>
              </w:rPr>
              <w:t>«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5" w:lineRule="exact"/>
              <w:ind w:left="0" w:right="0" w:firstLine="0"/>
            </w:pPr>
            <w:r>
              <w:rPr>
                <w:rStyle w:val="CharStyle42"/>
              </w:rPr>
              <w:t>а</w:t>
            </w:r>
          </w:p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42"/>
                <w:lang w:val="en-US" w:eastAsia="en-US" w:bidi="en-US"/>
              </w:rPr>
              <w:t>a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выс.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2321,0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0" w:firstLine="0"/>
            </w:pPr>
            <w:r>
              <w:rPr>
                <w:rStyle w:val="CharStyle40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419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выс.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1087,0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выс.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789,0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выс.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326,0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выс.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41,0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159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367,0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132,0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102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1175,0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975,0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11619,0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163,0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1780,0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40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20" w:firstLine="0"/>
            </w:pPr>
            <w:r>
              <w:rPr>
                <w:rStyle w:val="CharStyle40"/>
              </w:rPr>
              <w:t>сп.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80" w:right="0" w:firstLine="0"/>
            </w:pPr>
            <w:r>
              <w:rPr>
                <w:rStyle w:val="CharStyle40"/>
              </w:rPr>
              <w:t>Тамбовское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низк.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40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3075,5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14" w:h="6883" w:wrap="around" w:vAnchor="page" w:hAnchor="page" w:x="1211" w:y="82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14" w:h="6883" w:wrap="around" w:vAnchor="page" w:hAnchor="page" w:x="1211" w:y="82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14" w:h="6883" w:wrap="around" w:vAnchor="page" w:hAnchor="page" w:x="1211" w:y="82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24032,5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3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00" w:firstLine="0"/>
            </w:pPr>
            <w:r>
              <w:rPr>
                <w:rStyle w:val="CharStyle39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14" w:h="6883" w:wrap="around" w:vAnchor="page" w:hAnchor="page" w:x="1211" w:y="82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419</w:t>
            </w:r>
          </w:p>
        </w:tc>
      </w:tr>
    </w:tbl>
    <w:p>
      <w:pPr>
        <w:pStyle w:val="Style12"/>
        <w:framePr w:wrap="around" w:vAnchor="page" w:hAnchor="page" w:x="1206" w:y="1557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80" w:right="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Основными проблемами являются: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left"/>
        <w:spacing w:before="0" w:after="156" w:line="240" w:lineRule="exact"/>
        <w:ind w:left="1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сетей газоснабжения (около 35%);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left"/>
        <w:spacing w:before="0" w:after="23" w:line="240" w:lineRule="exact"/>
        <w:ind w:left="1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отсутствие приборов учета у потребителей;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left"/>
        <w:spacing w:before="0" w:after="558" w:line="413" w:lineRule="exact"/>
        <w:ind w:left="120" w:right="14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необходимость в установке энергосберегающего газового оборудования.</w:t>
      </w:r>
    </w:p>
    <w:p>
      <w:pPr>
        <w:pStyle w:val="Style29"/>
        <w:numPr>
          <w:ilvl w:val="1"/>
          <w:numId w:val="35"/>
        </w:numPr>
        <w:framePr w:w="9595" w:h="9971" w:hRule="exact" w:wrap="around" w:vAnchor="page" w:hAnchor="page" w:x="1170" w:y="879"/>
        <w:tabs>
          <w:tab w:leader="none" w:pos="6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240" w:lineRule="exact"/>
        <w:ind w:left="120" w:right="0" w:firstLine="0"/>
      </w:pPr>
      <w:bookmarkStart w:id="62" w:name="bookmark62"/>
      <w:bookmarkStart w:id="63" w:name="bookmark63"/>
      <w:r>
        <w:rPr>
          <w:rStyle w:val="CharStyle31"/>
        </w:rPr>
        <w:t>Характеристика системы теплоснабжения</w:t>
      </w:r>
      <w:bookmarkEnd w:id="62"/>
      <w:bookmarkEnd w:id="63"/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Организацией, эксплуатирующей объекты системы теплоснабжения в сельском поселении Тамбовское, является - МУП «Теректеплосбыт».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Индивидуальный жили</w:t>
      </w:r>
      <w:r>
        <w:rPr>
          <w:rStyle w:val="CharStyle28"/>
        </w:rPr>
        <w:t>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ый фонд к объектам теплоснабжения не подключен и охвачен индивидуальными источниками тепла. Индивидуальное теплоснабжение представлено индивидуальными теплогенераторами, работающими на природном топливе (природный газ).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настоящее время система теплоснабжения в сельском поселении представлено 2 (двумя) котельными, расположенными по улицам Дружбы 168 и 172.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Потребителями тепла в сельском поселении являются объекты социальной инфраструктуры: детский сад, средняя общеобразовательная школа, здание администрации, дом культуры, а также объект здравоохранения - медицинский пункт.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тепловых и паровых сетей в двухтрубном исчислении по Базе данных по муниципальным образованиям Кабардино-Балкарской Республики, Управления Федеральной службы государственной статистики по Северо-Кавказскому Федеральному округу составляет - 290 м.</w:t>
      </w:r>
    </w:p>
    <w:p>
      <w:pPr>
        <w:pStyle w:val="Style12"/>
        <w:framePr w:w="9595" w:h="9971" w:hRule="exact" w:wrap="around" w:vAnchor="page" w:hAnchor="page" w:x="1170" w:y="8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Характеристика объектов теплоснабжения в сельском поселении, представлена в таблице.</w:t>
      </w:r>
    </w:p>
    <w:p>
      <w:pPr>
        <w:pStyle w:val="Style32"/>
        <w:framePr w:wrap="around" w:vAnchor="page" w:hAnchor="page" w:x="1300" w:y="109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19. Характеристики объектов теплоснабжения в сельском поселении</w:t>
      </w:r>
    </w:p>
    <w:tbl>
      <w:tblPr>
        <w:tblOverlap w:val="never"/>
        <w:tblLayout w:type="fixed"/>
        <w:jc w:val="left"/>
      </w:tblPr>
      <w:tblGrid>
        <w:gridCol w:w="1104"/>
        <w:gridCol w:w="4397"/>
        <w:gridCol w:w="4085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40" w:right="0" w:firstLine="0"/>
            </w:pPr>
            <w:r>
              <w:rPr>
                <w:rStyle w:val="CharStyle39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Значение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Котельная, по улице Дружбы, 168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Количество и тип котлов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Ун-5М - 2 шт. КВА-0,25 - 2 шт.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Производительность, Г кал/час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0,963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Вид и марка топлива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Природный газ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Схема теплоснабжения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Двухтрубная. Замкнутая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Котельная, по улице Дружбы, 172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Количество и тип котлов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Самодельный, 1 шт.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Производительность, Г кал/час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0,429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Вид и марка топлива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86" w:h="2962" w:wrap="around" w:vAnchor="page" w:hAnchor="page" w:x="1175" w:y="111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природный газ</w:t>
            </w:r>
          </w:p>
        </w:tc>
      </w:tr>
    </w:tbl>
    <w:p>
      <w:pPr>
        <w:pStyle w:val="Style12"/>
        <w:framePr w:w="9595" w:h="1157" w:hRule="exact" w:wrap="around" w:vAnchor="page" w:hAnchor="page" w:x="1170" w:y="14508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Горячее водоснабжение жилых домов сельском поселении Тамбовское осуществляется от газовых водогрейных колонок, общественных, культурно</w:t>
        <w:softHyphen/>
        <w:t>бытовых и административных зданий - от местных водоподогревателей.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Предприятия используют для отопления и технологических процессов собственные котельные.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Основными проблемами являются: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котлов и оборудования;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износ тепловых сетей (69%);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гидравлическая разбалансировка отдельных участков тепловых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216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сетей;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97" w:line="240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отсутствие приборов учета тепловой энергии на источнике.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52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и схемой теплоснабжения сельского поселения дальнейшее развитие системы теплоснабжения не предусматривается.</w:t>
      </w:r>
    </w:p>
    <w:p>
      <w:pPr>
        <w:pStyle w:val="Style29"/>
        <w:numPr>
          <w:ilvl w:val="1"/>
          <w:numId w:val="35"/>
        </w:numPr>
        <w:framePr w:w="9370" w:h="14979" w:hRule="exact" w:wrap="around" w:vAnchor="page" w:hAnchor="page" w:x="1283" w:y="806"/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3" w:line="240" w:lineRule="exact"/>
        <w:ind w:left="20" w:right="0" w:firstLine="0"/>
      </w:pPr>
      <w:bookmarkStart w:id="64" w:name="bookmark64"/>
      <w:bookmarkStart w:id="65" w:name="bookmark65"/>
      <w:r>
        <w:rPr>
          <w:rStyle w:val="CharStyle31"/>
        </w:rPr>
        <w:t>Характеристика системы водоснабжения</w:t>
      </w:r>
      <w:bookmarkEnd w:id="64"/>
      <w:bookmarkEnd w:id="65"/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Организацией, эксплуатирующей сети водоснабжения в сельском поселении Тамбовское является - МУП «Тамбовское».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Источником хозяйственно-питьевого водоснабжения в сельском поселении являются 2 (две) артезианские скважины №210 Д и №211 Д, одна из которых в настоящее время затампонирована и не эксплуатируется. У скважин имеются зоны санитарной охраны. Горный отвод для скважин имеет форму круга радиусом 30 м вокруг устья скважины и совпадает по площади с границей зоны санитарной охраны. Скважина оборудована надкаптажным павильоном. Дебит скважины №210 Д составляет - 149,8 м</w:t>
      </w:r>
      <w:r>
        <w:rPr>
          <w:lang w:val="ru-RU" w:eastAsia="ru-RU" w:bidi="ru-RU"/>
          <w:vertAlign w:val="superscript"/>
          <w:sz w:val="24"/>
          <w:szCs w:val="24"/>
          <w:w w:val="100"/>
          <w:color w:val="000000"/>
          <w:position w:val="0"/>
        </w:rPr>
        <w:t>3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/час.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подкачки воды в часы максимального потребления установлен насос. Из скважины вода поступает в разводящую сеть.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Резервуары чистой воды и другие, аккумулирующие и пожарные емкости, на территории сельского поселения отсутствуют.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сельского поселения Тамбовское в целях тушения пожара установлены 3 (три) пожарных гидранта, расположенных на территории школы.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Протяженность уличной водопроводной сети по Базе данных по муниципальным образованиям Кабардино-Балкарской Республики, Управления Федеральной службы государственной статистики по Северо</w:t>
        <w:softHyphen/>
        <w:t>Кавказскому Федеральному округу составляет - 13,6 км.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both"/>
        <w:spacing w:before="0" w:after="39" w:line="24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Основные проблемы системы водоснабжения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отсутствие информации об утвержденных запасах вод;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высокий износ водопроводных сетей;</w:t>
      </w:r>
    </w:p>
    <w:p>
      <w:pPr>
        <w:pStyle w:val="Style12"/>
        <w:framePr w:w="9370" w:h="14979" w:hRule="exact" w:wrap="around" w:vAnchor="page" w:hAnchor="page" w:x="1283" w:y="80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высокий уровень потерь в водопроводных сетях;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55" w:h="6693" w:hRule="exact" w:wrap="around" w:vAnchor="page" w:hAnchor="page" w:x="1290" w:y="850"/>
        <w:widowControl w:val="0"/>
        <w:keepNext w:val="0"/>
        <w:keepLines w:val="0"/>
        <w:shd w:val="clear" w:color="auto" w:fill="auto"/>
        <w:bidi w:val="0"/>
        <w:jc w:val="left"/>
        <w:spacing w:before="0" w:after="667" w:line="240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отсутствие системы очистки и обеззараживания воды.</w:t>
      </w:r>
    </w:p>
    <w:p>
      <w:pPr>
        <w:pStyle w:val="Style29"/>
        <w:numPr>
          <w:ilvl w:val="1"/>
          <w:numId w:val="35"/>
        </w:numPr>
        <w:framePr w:w="9355" w:h="6693" w:hRule="exact" w:wrap="around" w:vAnchor="page" w:hAnchor="page" w:x="1290" w:y="850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8" w:line="240" w:lineRule="exact"/>
        <w:ind w:left="0" w:right="0" w:firstLine="0"/>
      </w:pPr>
      <w:bookmarkStart w:id="66" w:name="bookmark66"/>
      <w:bookmarkStart w:id="67" w:name="bookmark67"/>
      <w:r>
        <w:rPr>
          <w:rStyle w:val="CharStyle31"/>
        </w:rPr>
        <w:t>Характеристика системы водоотведения</w:t>
      </w:r>
      <w:bookmarkEnd w:id="66"/>
      <w:bookmarkEnd w:id="67"/>
    </w:p>
    <w:p>
      <w:pPr>
        <w:pStyle w:val="Style12"/>
        <w:framePr w:w="9355" w:h="6693" w:hRule="exact" w:wrap="around" w:vAnchor="page" w:hAnchor="page" w:x="1290" w:y="85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Системы централизованного водоотведения и канализационные очистные сооружения на территории сельского поселения Тамбовское отсутствуют.</w:t>
      </w:r>
    </w:p>
    <w:p>
      <w:pPr>
        <w:pStyle w:val="Style12"/>
        <w:framePr w:w="9355" w:h="6693" w:hRule="exact" w:wrap="around" w:vAnchor="page" w:hAnchor="page" w:x="1290" w:y="85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Отвод стоков от жилых домов и учреждений осуществляется в выгребные ямы, с последующим выбросом стоков на рельеф.</w:t>
      </w:r>
    </w:p>
    <w:p>
      <w:pPr>
        <w:pStyle w:val="Style12"/>
        <w:framePr w:w="9355" w:h="6693" w:hRule="exact" w:wrap="around" w:vAnchor="page" w:hAnchor="page" w:x="1290" w:y="85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Жилой фонд, а также объекты социальной инфраструктуры, общественные и производственные здания имеют на своих участках выгребные ямы и септики, что негативно сказывается на состоянии окружающей среды.</w:t>
      </w:r>
    </w:p>
    <w:p>
      <w:pPr>
        <w:pStyle w:val="Style12"/>
        <w:framePr w:w="9355" w:h="6693" w:hRule="exact" w:wrap="around" w:vAnchor="page" w:hAnchor="page" w:x="1290" w:y="85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предусматривается строительство централизованной системы водоотведения, строительство канализационных сетей и очистных сооружений к 2035 году, что также позволит улучшить экологическую ситуацию в сельском поселении, снизить опасность возникновения и распространения заболеваний.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65" w:h="14604" w:hRule="exact" w:wrap="around" w:vAnchor="page" w:hAnchor="page" w:x="1279" w:y="1157"/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00" w:right="0" w:firstLine="0"/>
      </w:pPr>
      <w:bookmarkStart w:id="68" w:name="bookmark68"/>
      <w:bookmarkStart w:id="69" w:name="bookmark69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ОЦЕНКА РЕАЛИЗАЦИИ МЕРОПРИЯТИЙ В ОБЛАСТИ ЭНЕРГО- И</w:t>
      </w:r>
      <w:bookmarkEnd w:id="68"/>
      <w:bookmarkEnd w:id="69"/>
    </w:p>
    <w:p>
      <w:pPr>
        <w:pStyle w:val="Style23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spacing w:before="0" w:after="304" w:line="374" w:lineRule="exact"/>
        <w:ind w:left="0" w:right="0" w:firstLine="0"/>
      </w:pPr>
      <w:bookmarkStart w:id="70" w:name="bookmark7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РЕСУРСОСБЕРЕЖЕНИЯ, МЕРОПРИЯТИЙ ПО СБОРУ И УЧЕТУ ИНФОРМАЦИИ ОБ ИСПОЛЬЗОВАНИИ ЭНЕРГЕТИЧЕСКИХ РЕСУРСОВ</w:t>
      </w:r>
      <w:bookmarkEnd w:id="70"/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 исполнение Федерального закона от 23.11.2009 года №261-ФЗ «Об энергосбережении и о повышении энергетической эффективности, и о внесении изменений в отдельные законодательные акты Российской Федерации» в сельском поселении Тамбовское должна быть разработана и утверждена программа в области энергосбережения и повышения энергетической эффективности.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энергосбережения, должна быть направлена на стимулирование энергосбережения, создание условий для внедрения, в производственной, коммунальной и социальной сфере прогрессивных энергосберегающих технологий и оборудования и обеспечения надежного энергоснабжения потребителей.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настоящее время требуются мероприятия по оборудованию приборами учета жилищного фонда в сфере электроснабжения, газоснабжения и водоснабжения.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 в области энергосбережения и повышения энергетической эффективности на территории сельского поселения Тамбовское Терского муниципального района Кабардино-Балкарской Республики на момент разработки настоящей Программы отсутствует.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отсутствии программы в области энергосбережения, Генеральным планом сельского поселения предусмотрены следующие мероприятия: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проведение энергетических обследований, нормирование и установленных лимитов потребления энергетических ресурсов;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82" w:line="240" w:lineRule="exact"/>
        <w:ind w:left="20" w:right="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замена ламп накаливания на энергосберегающие лампы;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обеспечение учёта всего объёма потребляемых энергетических ресурсов в организациях бюджетной сферы;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строительство новых линий на улицах, не оборудованных освещением и при застройке новых территорий;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130" w:line="240" w:lineRule="exact"/>
        <w:ind w:left="20" w:right="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использование в светильниках современных энергосберегающих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left"/>
        <w:spacing w:before="0" w:after="98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ламп.</w:t>
      </w:r>
    </w:p>
    <w:p>
      <w:pPr>
        <w:pStyle w:val="Style12"/>
        <w:framePr w:w="9365" w:h="14604" w:hRule="exact" w:wrap="around" w:vAnchor="page" w:hAnchor="page" w:x="1279" w:y="11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Также Государственной программой Кабардино-Балкарской Республики «Энергоэффективность и развитие энергетики в Кабардино</w:t>
        <w:softHyphen/>
        <w:t>Балкарской Республике» на 2013-2020 годы, утвержденной Постановлением Правительства Кабардино-Балкарской Республики от 27.11.2013 года №310-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50" w:h="1537" w:hRule="exact" w:wrap="around" w:vAnchor="page" w:hAnchor="page" w:x="1286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1111 (в редакции Постановления от 24.03.2015 года №64-1111) предусмотрено мероприятие по оснащению энергоэкономичными осветительными приборами и энергосберегающими источниками света в Терском мун</w:t>
      </w:r>
      <w:r>
        <w:rPr>
          <w:rStyle w:val="CharStyle28"/>
        </w:rPr>
        <w:t>ици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пальном районе в период 2017 - 2020 годы.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65" w:h="14414" w:hRule="exact" w:wrap="around" w:vAnchor="page" w:hAnchor="page" w:x="1285" w:y="840"/>
        <w:tabs>
          <w:tab w:leader="none" w:pos="1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374" w:lineRule="exact"/>
        <w:ind w:left="1020" w:right="1020" w:firstLine="0"/>
      </w:pPr>
      <w:bookmarkStart w:id="71" w:name="bookmark71"/>
      <w:bookmarkStart w:id="72" w:name="bookmark72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ОБОСНОВАНИЕ ЦЕЛЕВЫХ ПОКАЗАТЕЛЕЙ РАЗВИТИЯ СООТВЕТСТВУЮЩЕЙ СИСТЕМЫ КОММУНАЛЬНОЙ ИНФРАСТРУКТУРЫ</w:t>
      </w:r>
      <w:bookmarkEnd w:id="71"/>
      <w:bookmarkEnd w:id="72"/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Коммунальная инфраструктура сельского поселения Тамбовское представлена следующими системами:</w:t>
      </w:r>
    </w:p>
    <w:p>
      <w:pPr>
        <w:pStyle w:val="Style12"/>
        <w:framePr w:w="9365" w:h="14414" w:hRule="exact" w:wrap="around" w:vAnchor="page" w:hAnchor="page" w:x="1285" w:y="840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электроснабжения;</w:t>
      </w:r>
    </w:p>
    <w:p>
      <w:pPr>
        <w:pStyle w:val="Style12"/>
        <w:framePr w:w="9365" w:h="14414" w:hRule="exact" w:wrap="around" w:vAnchor="page" w:hAnchor="page" w:x="1285" w:y="840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газоснабжения;</w:t>
      </w:r>
    </w:p>
    <w:p>
      <w:pPr>
        <w:pStyle w:val="Style12"/>
        <w:framePr w:w="9365" w:h="14414" w:hRule="exact" w:wrap="around" w:vAnchor="page" w:hAnchor="page" w:x="1285" w:y="840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теплоснабжения;</w:t>
      </w:r>
    </w:p>
    <w:p>
      <w:pPr>
        <w:pStyle w:val="Style12"/>
        <w:framePr w:w="9365" w:h="14414" w:hRule="exact" w:wrap="around" w:vAnchor="page" w:hAnchor="page" w:x="1285" w:y="840"/>
        <w:tabs>
          <w:tab w:leader="none" w:pos="13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система водоснабжения.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Системы горячего водоснабжения, водоотведения и утилизации, обезвреживания и захоронения твердых коммунальных отходов на момент разработки настоящей Программы на территории сельского поселения отсутствуют.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не предусмотрено развитие системы теплоснабжения, в связи, с чем целевые показатели системы теплоснабжения не определялись.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Генеральным планом сельского поселения Тамбовское предусмотрено создание централизованной системы водоотведения к 2035 году.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52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качестве базового периода при определении целевых показателей принят 2018 год (100%).</w:t>
      </w:r>
    </w:p>
    <w:p>
      <w:pPr>
        <w:pStyle w:val="Style12"/>
        <w:numPr>
          <w:ilvl w:val="1"/>
          <w:numId w:val="35"/>
        </w:numPr>
        <w:framePr w:w="9365" w:h="14414" w:hRule="exact" w:wrap="around" w:vAnchor="page" w:hAnchor="page" w:x="1285" w:y="840"/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" w:line="240" w:lineRule="exact"/>
        <w:ind w:left="20" w:right="0" w:firstLine="0"/>
      </w:pPr>
      <w:bookmarkStart w:id="73" w:name="bookmark73"/>
      <w:r>
        <w:rPr>
          <w:rStyle w:val="CharStyle28"/>
        </w:rPr>
        <w:t>Целевые показатели системы электроснабжения</w:t>
      </w:r>
      <w:bookmarkEnd w:id="73"/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системы электроснабжения определены на основании: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Генерального плана сельского поселения Тамбовское Терского муниципального района Кабардино-Балкарской Республики;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прогнозируемого спроса на электрическую энергию на территории сельского поселения;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назначения;</w:t>
      </w:r>
    </w:p>
    <w:p>
      <w:pPr>
        <w:pStyle w:val="Style12"/>
        <w:framePr w:w="9365" w:h="14414" w:hRule="exact" w:wrap="around" w:vAnchor="page" w:hAnchor="page" w:x="1285" w:y="84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Справочника по проектированию электрических сетей (под ред. Д. Л. Файбисовича. - 4-е изд., перераб. и доп.).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развития системы электроснабжения определены на основании прогнозируемого спроса на электрическую энергию на хозяйственно-бытовые нужды населения. Для показателя базового периода принята удельная доля согласно численности населения в объеме электрической энергии, потребленном на хозяйственно-бытовые нужды населения.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эффективности функционирования системы электроснабжения не определены, в связи с отсутствием в распоряжении разработчика необходимых исходных данных.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надежности функционирования системы электроснабжения определены оценочным методом на основании Справочника по проектированию электрических сетей (под ред. Д. Л. Файбисовича. - 4-е изд., перераб. и доп.).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качества поставляемой электроэнергии должны соответствовать требованиям «ГОСТ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отклонение напряжения и (или) частоты электрического тока от нормативных требований не допускается.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воздействия на окружающую среду устанавливаются в соответствии с: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выбросов и сбросов веществ и микроорганизмов;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образования отходов производства и потребления и лимиты на их размещение;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74" w:line="240" w:lineRule="exact"/>
        <w:ind w:left="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допустимого изъятия компонентов природной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left"/>
        <w:spacing w:before="0" w:after="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среды;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допустимой антропогенной нагрузки на окружающую среду;</w:t>
      </w:r>
    </w:p>
    <w:p>
      <w:pPr>
        <w:pStyle w:val="Style12"/>
        <w:framePr w:w="9365" w:h="14848" w:hRule="exact" w:wrap="around" w:vAnchor="page" w:hAnchor="page" w:x="1285" w:y="790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734" w:h="1124" w:hRule="exact" w:wrap="around" w:vAnchor="page" w:hAnchor="page" w:x="1100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40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показателях воздействия на окружающую среду организаций, обеспечивающих потребителей сельского поселения электрической энергией отсутствуют.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5"/>
        <w:gridCol w:w="3336"/>
        <w:gridCol w:w="1416"/>
        <w:gridCol w:w="1243"/>
        <w:gridCol w:w="1243"/>
        <w:gridCol w:w="1243"/>
        <w:gridCol w:w="1243"/>
        <w:gridCol w:w="1243"/>
        <w:gridCol w:w="1243"/>
        <w:gridCol w:w="1253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Изменение спроса на электрическую энергию,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8" w:y="12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110,33</w:t>
            </w:r>
          </w:p>
        </w:tc>
      </w:tr>
    </w:tbl>
    <w:p>
      <w:pPr>
        <w:pStyle w:val="Style32"/>
        <w:framePr w:wrap="around" w:vAnchor="page" w:hAnchor="page" w:x="1285" w:y="30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21. Целевые показатели развития системы электроснабжения</w:t>
      </w:r>
    </w:p>
    <w:tbl>
      <w:tblPr>
        <w:tblOverlap w:val="never"/>
        <w:tblLayout w:type="fixed"/>
        <w:jc w:val="left"/>
      </w:tblPr>
      <w:tblGrid>
        <w:gridCol w:w="725"/>
        <w:gridCol w:w="3336"/>
        <w:gridCol w:w="1416"/>
        <w:gridCol w:w="1243"/>
        <w:gridCol w:w="1243"/>
        <w:gridCol w:w="1243"/>
        <w:gridCol w:w="1243"/>
        <w:gridCol w:w="1243"/>
        <w:gridCol w:w="1243"/>
        <w:gridCol w:w="1253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Удельный расход электроэнергии на 1 чел., кВт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509,0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Удельный расход электроэнергии 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жилой площади, кВт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29,92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29,81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29,69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29,58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29,01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8" w:y="331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28,26</w:t>
            </w:r>
          </w:p>
        </w:tc>
      </w:tr>
    </w:tbl>
    <w:p>
      <w:pPr>
        <w:pStyle w:val="Style32"/>
        <w:framePr w:wrap="around" w:vAnchor="page" w:hAnchor="page" w:x="1285" w:y="60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22. Целевые показатели надежности функционирования системы электроснабжения</w:t>
      </w:r>
    </w:p>
    <w:tbl>
      <w:tblPr>
        <w:tblOverlap w:val="never"/>
        <w:tblLayout w:type="fixed"/>
        <w:jc w:val="left"/>
      </w:tblPr>
      <w:tblGrid>
        <w:gridCol w:w="725"/>
        <w:gridCol w:w="3336"/>
        <w:gridCol w:w="1416"/>
        <w:gridCol w:w="1243"/>
        <w:gridCol w:w="1243"/>
        <w:gridCol w:w="1243"/>
        <w:gridCol w:w="1243"/>
        <w:gridCol w:w="1243"/>
        <w:gridCol w:w="1243"/>
        <w:gridCol w:w="1253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Количество аварий на 1 километр сетей, ед./год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нет данных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0,02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Уровень физического износа сетей,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70</w:t>
            </w:r>
            <w:r>
              <w:rPr>
                <w:rStyle w:val="CharStyle40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35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40"/>
              </w:rPr>
              <w:t>Доля потерь электрической энергии в сетях,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14,25</w:t>
            </w:r>
            <w:r>
              <w:rPr>
                <w:rStyle w:val="CharStyle40"/>
                <w:vertAlign w:val="superscript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14,01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13,77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13,53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13,29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13,05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11,86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2222" w:wrap="around" w:vAnchor="page" w:hAnchor="page" w:x="1328" w:y="62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10,19</w:t>
            </w:r>
          </w:p>
        </w:tc>
      </w:tr>
    </w:tbl>
    <w:p>
      <w:pPr>
        <w:pStyle w:val="Style21"/>
        <w:framePr w:w="8074" w:h="230" w:hRule="exact" w:wrap="around" w:vAnchor="page" w:hAnchor="page" w:x="1251" w:y="106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4</w:t>
      </w:r>
      <w:r>
        <w:rPr>
          <w:lang w:val="ru-RU" w:eastAsia="ru-RU" w:bidi="ru-RU"/>
          <w:w w:val="100"/>
          <w:color w:val="000000"/>
          <w:position w:val="0"/>
        </w:rPr>
        <w:t xml:space="preserve"> По данным Генерального сельского поселения.</w:t>
      </w:r>
    </w:p>
    <w:p>
      <w:pPr>
        <w:pStyle w:val="Style21"/>
        <w:framePr w:w="8074" w:h="226" w:hRule="exact" w:wrap="around" w:vAnchor="page" w:hAnchor="page" w:x="1251" w:y="1087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5</w:t>
      </w:r>
      <w:r>
        <w:rPr>
          <w:lang w:val="ru-RU" w:eastAsia="ru-RU" w:bidi="ru-RU"/>
          <w:w w:val="100"/>
          <w:color w:val="000000"/>
          <w:position w:val="0"/>
        </w:rPr>
        <w:t xml:space="preserve"> Потери электрической энергии в распределительных сетях АО «Каббалкэнерго» за 2018 год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35"/>
        </w:numPr>
        <w:framePr w:w="9365" w:h="15003" w:hRule="exact" w:wrap="around" w:vAnchor="page" w:hAnchor="page" w:x="1268" w:y="771"/>
        <w:tabs>
          <w:tab w:leader="none" w:pos="5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20" w:right="0" w:firstLine="0"/>
      </w:pPr>
      <w:bookmarkStart w:id="74" w:name="bookmark74"/>
      <w:bookmarkStart w:id="75" w:name="bookmark75"/>
      <w:r>
        <w:rPr>
          <w:rStyle w:val="CharStyle31"/>
        </w:rPr>
        <w:t>Целевые показатели системы газоснабжения</w:t>
      </w:r>
      <w:bookmarkEnd w:id="74"/>
      <w:bookmarkEnd w:id="75"/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системы газоснабжения определены на основании: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Генерального плана сельского поселения Тамбовское Терского муниципального района Кабардино-Балкарской Республики;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прогнозируемого спроса на газ на территории сельского поселения;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ГОСТ 5542-2014 Газы горючие природные промышленного и коммунально-бытового назначения. Технические условия.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развития системы газоснабжения определены на основании прогнозируемого спроса на газ на хозяйственно-бытовые нужды населения и отопление жилых зданий. Для показателя базового периода принята удельная доля согласно численности населения в объеме газа, потребленном на хозяйственно-бытовые нужды населения и отопление жилых зданий.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эффективности функционирования системы газоснабжения определены на основании прогнозируемого спроса на газ на хозяйственно-бытовые нужды населения и отопление жилых зданий.</w:t>
      </w:r>
    </w:p>
    <w:p>
      <w:pPr>
        <w:pStyle w:val="Style12"/>
        <w:framePr w:w="9365" w:h="15003" w:hRule="exact" w:wrap="around" w:vAnchor="page" w:hAnchor="page" w:x="1268" w:y="771"/>
        <w:tabs>
          <w:tab w:leader="none" w:pos="2112" w:val="left"/>
          <w:tab w:leader="none" w:pos="3792" w:val="left"/>
          <w:tab w:leader="none" w:pos="9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</w:t>
        <w:tab/>
        <w:t>показатели</w:t>
        <w:tab/>
        <w:t>надежности функционирования</w:t>
        <w:tab/>
        <w:t>системы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газоснабжения не определены, в связи с отсутствием необходимых исходных данных.</w:t>
      </w:r>
    </w:p>
    <w:p>
      <w:pPr>
        <w:pStyle w:val="Style12"/>
        <w:framePr w:w="9365" w:h="15003" w:hRule="exact" w:wrap="around" w:vAnchor="page" w:hAnchor="page" w:x="1268" w:y="771"/>
        <w:tabs>
          <w:tab w:leader="none" w:pos="2112" w:val="left"/>
          <w:tab w:leader="none" w:pos="3792" w:val="left"/>
          <w:tab w:leader="none" w:pos="9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</w:t>
        <w:tab/>
        <w:t>показатели</w:t>
        <w:tab/>
        <w:t>качества поставляемого газа</w:t>
        <w:tab/>
        <w:t>должны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соответствовать требованиям «ГОСТ 5542-2014 Газы горючие природные промышленного и коммунально-бытового назначения. Технические условия», отклонение свойств подаваемого газа от требований законодательства Российской Федерации о техническом регулировании не допускается.</w:t>
      </w:r>
    </w:p>
    <w:p>
      <w:pPr>
        <w:pStyle w:val="Style12"/>
        <w:framePr w:w="9365" w:h="15003" w:hRule="exact" w:wrap="around" w:vAnchor="page" w:hAnchor="page" w:x="1268" w:y="771"/>
        <w:tabs>
          <w:tab w:leader="none" w:pos="2112" w:val="left"/>
          <w:tab w:leader="none" w:pos="3792" w:val="left"/>
          <w:tab w:leader="none" w:pos="935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</w:t>
        <w:tab/>
        <w:t>показатели</w:t>
        <w:tab/>
        <w:t>воздействия на окружающую</w:t>
        <w:tab/>
        <w:t>среду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устанавливаются в соответствии с: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выбросов и сбросов веществ и микроорганизмов;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образования отходов производства и потребления и лимиты на их размещение;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134" w:line="240" w:lineRule="exact"/>
        <w:ind w:left="20" w:right="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допустимого изъятия компонентов природной</w:t>
      </w:r>
    </w:p>
    <w:p>
      <w:pPr>
        <w:pStyle w:val="Style12"/>
        <w:framePr w:w="9365" w:h="15003" w:hRule="exact" w:wrap="around" w:vAnchor="page" w:hAnchor="page" w:x="1268" w:y="77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среды;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65" w:h="3767" w:hRule="exact" w:wrap="around" w:vAnchor="page" w:hAnchor="page" w:x="1273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допустимой антропогенной нагрузки на окружающую среду;</w:t>
      </w:r>
    </w:p>
    <w:p>
      <w:pPr>
        <w:pStyle w:val="Style12"/>
        <w:framePr w:w="9365" w:h="3767" w:hRule="exact" w:wrap="around" w:vAnchor="page" w:hAnchor="page" w:x="1273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>
      <w:pPr>
        <w:pStyle w:val="Style12"/>
        <w:framePr w:w="9365" w:h="3767" w:hRule="exact" w:wrap="around" w:vAnchor="page" w:hAnchor="page" w:x="1273" w:y="773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показателях воздействия на окружающую среду организаций, обеспечивающих потребителей сельского поселения газом отсутствуют.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5"/>
        <w:gridCol w:w="3336"/>
        <w:gridCol w:w="1416"/>
        <w:gridCol w:w="1243"/>
        <w:gridCol w:w="1243"/>
        <w:gridCol w:w="1243"/>
        <w:gridCol w:w="1243"/>
        <w:gridCol w:w="1243"/>
        <w:gridCol w:w="1243"/>
        <w:gridCol w:w="1253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Изменение спроса на газ,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00" w:firstLine="0"/>
            </w:pPr>
            <w:r>
              <w:rPr>
                <w:rStyle w:val="CharStyle40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085" w:wrap="around" w:vAnchor="page" w:hAnchor="page" w:x="1325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110,33</w:t>
            </w:r>
          </w:p>
        </w:tc>
      </w:tr>
    </w:tbl>
    <w:p>
      <w:pPr>
        <w:pStyle w:val="Style32"/>
        <w:framePr w:wrap="around" w:vAnchor="page" w:hAnchor="page" w:x="1282" w:y="290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24. Целевые показатели эффективности функционирования системы газоснабжения</w:t>
      </w:r>
    </w:p>
    <w:tbl>
      <w:tblPr>
        <w:tblOverlap w:val="never"/>
        <w:tblLayout w:type="fixed"/>
        <w:jc w:val="left"/>
      </w:tblPr>
      <w:tblGrid>
        <w:gridCol w:w="725"/>
        <w:gridCol w:w="3336"/>
        <w:gridCol w:w="1416"/>
        <w:gridCol w:w="1243"/>
        <w:gridCol w:w="1243"/>
        <w:gridCol w:w="1243"/>
        <w:gridCol w:w="1243"/>
        <w:gridCol w:w="1243"/>
        <w:gridCol w:w="1243"/>
        <w:gridCol w:w="1253"/>
      </w:tblGrid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Удельный расход газа на 1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980" w:right="0" w:firstLine="0"/>
            </w:pPr>
            <w:r>
              <w:rPr>
                <w:rStyle w:val="CharStyle46"/>
              </w:rPr>
              <w:t>3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 xml:space="preserve">чел., </w:t>
            </w:r>
            <w:r>
              <w:rPr>
                <w:rStyle w:val="CharStyle44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20" w:right="0" w:firstLine="0"/>
            </w:pPr>
            <w:r>
              <w:rPr>
                <w:rStyle w:val="CharStyle40"/>
              </w:rPr>
              <w:t>794,91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Удельный расход газа на 1 м</w:t>
            </w:r>
            <w:r>
              <w:rPr>
                <w:rStyle w:val="CharStyle46"/>
                <w:vertAlign w:val="superscript"/>
              </w:rPr>
              <w:t>2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680" w:firstLine="0"/>
            </w:pPr>
            <w:r>
              <w:rPr>
                <w:rStyle w:val="CharStyle47"/>
              </w:rPr>
              <w:t xml:space="preserve">" </w:t>
            </w:r>
            <w:r>
              <w:rPr>
                <w:rStyle w:val="CharStyle46"/>
              </w:rPr>
              <w:t>3</w:t>
            </w:r>
          </w:p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жилои площади, м</w:t>
            </w:r>
            <w:r>
              <w:rPr>
                <w:rStyle w:val="CharStyle46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47,13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46,94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46,40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46,22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45,34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709" w:wrap="around" w:vAnchor="page" w:hAnchor="page" w:x="1325" w:y="314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44,16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numPr>
          <w:ilvl w:val="1"/>
          <w:numId w:val="35"/>
        </w:numPr>
        <w:framePr w:w="9360" w:h="14495" w:hRule="exact" w:wrap="around" w:vAnchor="page" w:hAnchor="page" w:x="1273" w:y="779"/>
        <w:tabs>
          <w:tab w:leader="none" w:pos="5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0"/>
      </w:pPr>
      <w:bookmarkStart w:id="76" w:name="bookmark76"/>
      <w:bookmarkStart w:id="77" w:name="bookmark77"/>
      <w:r>
        <w:rPr>
          <w:rStyle w:val="CharStyle31"/>
        </w:rPr>
        <w:t>Целевые показатели системы водоснабжения</w:t>
      </w:r>
      <w:bookmarkEnd w:id="76"/>
      <w:bookmarkEnd w:id="77"/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системы водоснабжения определены на основании: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Генерального плана сельского поселения Тамбовское Терского муниципального района;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27" w:line="240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схемы водоснабжения и водоотведения сельского поселения;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прогнозируемого спроса на холодную воду на территории сельского поселения;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СанПиН 2.1.4.1074-01. 2.1.4. Питьевая вода и водоснабжение населенных мест. Питьевая вода. Г 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нормативы.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развития системы водоснабжения определены на основании прогнозируемого спроса на холодную воду на хозяйственно - питьевые нужды населения и Схемы водоснабжения и водоотведения сельского поселения.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эффективности функционирования системы водоснабжения определены на основании прогнозируемого спроса на холодную воду на хозяйственно-питьевые нужды населения, Схемы водоснабжения и водоотведения сельского поселения.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надежности функционирования системы водоснабжения не определены, в связи с отсутствием необходимых исходных данных.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качества поставляемой холодной воды должны соответствовать требованиям «СанПиН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отклонение состава и свойств холодной воды от нормативных требований не допускается.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воздействия на окружающую среду устанавливаются в соответствии с:</w:t>
      </w:r>
    </w:p>
    <w:p>
      <w:pPr>
        <w:pStyle w:val="Style12"/>
        <w:framePr w:w="9360" w:h="14495" w:hRule="exact" w:wrap="around" w:vAnchor="page" w:hAnchor="page" w:x="1273" w:y="77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выбросов и сбросов веществ и микроорганизмов;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25"/>
        <w:gridCol w:w="3192"/>
        <w:gridCol w:w="1258"/>
        <w:gridCol w:w="1286"/>
        <w:gridCol w:w="1286"/>
        <w:gridCol w:w="1286"/>
        <w:gridCol w:w="1286"/>
        <w:gridCol w:w="1286"/>
        <w:gridCol w:w="1286"/>
        <w:gridCol w:w="1296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2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Изменение спроса на холодную воду,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105,95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142" w:wrap="around" w:vAnchor="page" w:hAnchor="page" w:x="1323" w:y="11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110,33</w:t>
            </w:r>
          </w:p>
        </w:tc>
      </w:tr>
    </w:tbl>
    <w:p>
      <w:pPr>
        <w:pStyle w:val="Style32"/>
        <w:framePr w:wrap="around" w:vAnchor="page" w:hAnchor="page" w:x="1280" w:y="296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26. Целевые показатели эффективности функционирования системы водоснабжения</w:t>
      </w:r>
    </w:p>
    <w:tbl>
      <w:tblPr>
        <w:tblOverlap w:val="never"/>
        <w:tblLayout w:type="fixed"/>
        <w:jc w:val="left"/>
      </w:tblPr>
      <w:tblGrid>
        <w:gridCol w:w="725"/>
        <w:gridCol w:w="3192"/>
        <w:gridCol w:w="1258"/>
        <w:gridCol w:w="1286"/>
        <w:gridCol w:w="1286"/>
        <w:gridCol w:w="1286"/>
        <w:gridCol w:w="1286"/>
        <w:gridCol w:w="1286"/>
        <w:gridCol w:w="1286"/>
        <w:gridCol w:w="1296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00" w:lineRule="exact"/>
              <w:ind w:left="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Базовый</w:t>
            </w:r>
          </w:p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Удельный расход холодной воды на 1 чел.,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83,04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Удельный расход холодной воды 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жилой площади,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4,92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189" w:h="1982" w:wrap="around" w:vAnchor="page" w:hAnchor="page" w:x="1323" w:y="3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4,61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образования отходов производства и потребления и лимиты на их размещение;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74" w:line="240" w:lineRule="exact"/>
        <w:ind w:left="14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допустимого изъятия компонентов природной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22" w:line="240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среды;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допустимой антропогенной нагрузки на окружающую среду;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322" w:line="370" w:lineRule="exact"/>
        <w:ind w:left="140" w:right="1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показателях воздействия на окружающую среду организаций, обеспечивающих потребителей сельского поселения холодной водой отсутствуют.</w:t>
      </w:r>
    </w:p>
    <w:p>
      <w:pPr>
        <w:pStyle w:val="Style29"/>
        <w:numPr>
          <w:ilvl w:val="1"/>
          <w:numId w:val="35"/>
        </w:numPr>
        <w:framePr w:w="9629" w:h="11261" w:hRule="exact" w:wrap="around" w:vAnchor="page" w:hAnchor="page" w:x="1141" w:y="776"/>
        <w:tabs>
          <w:tab w:leader="none" w:pos="7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140" w:right="0" w:firstLine="0"/>
      </w:pPr>
      <w:bookmarkStart w:id="78" w:name="bookmark78"/>
      <w:bookmarkStart w:id="79" w:name="bookmark79"/>
      <w:r>
        <w:rPr>
          <w:rStyle w:val="CharStyle31"/>
        </w:rPr>
        <w:t>Целевые показатели системы водоотведения</w:t>
      </w:r>
      <w:bookmarkEnd w:id="78"/>
      <w:bookmarkEnd w:id="79"/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14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системы водоотведения определены на основании: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Генерального плана сельского поселения Тамбовское Терского муниципального района Кабардино-Балкарской Республики;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140" w:right="16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прогнозируемого спроса на отвод сточных вод на территории сельского поселения.</w:t>
      </w:r>
    </w:p>
    <w:p>
      <w:pPr>
        <w:pStyle w:val="Style12"/>
        <w:framePr w:w="9629" w:h="11261" w:hRule="exact" w:wrap="around" w:vAnchor="page" w:hAnchor="page" w:x="1141" w:y="776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40" w:right="1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развития системы водоотведения определены на основании прогнозируемого спроса на отвод сточных вод в соответствии с Генеральным планом сельского поселения и приведены в таблице.</w:t>
      </w:r>
    </w:p>
    <w:p>
      <w:pPr>
        <w:pStyle w:val="Style32"/>
        <w:framePr w:wrap="around" w:vAnchor="page" w:hAnchor="page" w:x="1290" w:y="1214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27. Целевые показатели развития системы водоотведения</w:t>
      </w:r>
    </w:p>
    <w:tbl>
      <w:tblPr>
        <w:tblOverlap w:val="never"/>
        <w:tblLayout w:type="fixed"/>
        <w:jc w:val="left"/>
      </w:tblPr>
      <w:tblGrid>
        <w:gridCol w:w="600"/>
        <w:gridCol w:w="2933"/>
        <w:gridCol w:w="1013"/>
        <w:gridCol w:w="1013"/>
        <w:gridCol w:w="1013"/>
        <w:gridCol w:w="1013"/>
        <w:gridCol w:w="1013"/>
        <w:gridCol w:w="1022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6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6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Баз.</w:t>
            </w:r>
          </w:p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Изменение спроса на сточные бытовые воды,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Изменение спроса на сточные бытовые воды,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100,58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101,16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101,75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102,34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Изменение спроса на сточные бытовые воды,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102,93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103,53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104,13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104,74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105,34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2966" w:wrap="around" w:vAnchor="page" w:hAnchor="page" w:x="1146" w:y="1238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105,95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629" w:h="1167" w:hRule="exact" w:wrap="around" w:vAnchor="page" w:hAnchor="page" w:x="1153" w:y="80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4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энергоэффективности функционирования системы водоотведения определены на основании прогнозируемого спроса на отвод сточных вод и приведены в таблице.</w:t>
      </w:r>
    </w:p>
    <w:p>
      <w:pPr>
        <w:pStyle w:val="Style32"/>
        <w:framePr w:w="9331" w:h="605" w:hRule="exact" w:wrap="around" w:vAnchor="page" w:hAnchor="page" w:x="1302" w:y="2196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28. Целевые показатели эффективности функционирования системы водоотведения</w:t>
      </w:r>
    </w:p>
    <w:tbl>
      <w:tblPr>
        <w:tblOverlap w:val="never"/>
        <w:tblLayout w:type="fixed"/>
        <w:jc w:val="left"/>
      </w:tblPr>
      <w:tblGrid>
        <w:gridCol w:w="600"/>
        <w:gridCol w:w="2794"/>
        <w:gridCol w:w="1032"/>
        <w:gridCol w:w="1042"/>
        <w:gridCol w:w="1032"/>
        <w:gridCol w:w="1037"/>
        <w:gridCol w:w="1037"/>
        <w:gridCol w:w="1046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60" w:right="0" w:firstLine="0"/>
            </w:pPr>
            <w:r>
              <w:rPr>
                <w:rStyle w:val="CharStyle39"/>
              </w:rPr>
              <w:t>№</w:t>
            </w:r>
          </w:p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16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Баз.</w:t>
            </w:r>
          </w:p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Удельный расход сточных вод на 1 чел.,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400" w:right="0" w:firstLine="100"/>
            </w:pPr>
            <w:r>
              <w:rPr>
                <w:rStyle w:val="CharStyle40"/>
              </w:rPr>
              <w:t>Удельный расход сточных вод 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жилой площади,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Удельный расход сточных вод на 1 чел.,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400" w:right="0" w:firstLine="100"/>
            </w:pPr>
            <w:r>
              <w:rPr>
                <w:rStyle w:val="CharStyle40"/>
              </w:rPr>
              <w:t>Удельный расход сточных вод 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жилой площади,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3,77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Удельный расход сточных вод на 1 чел.,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66,43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400" w:right="0" w:firstLine="100"/>
            </w:pPr>
            <w:r>
              <w:rPr>
                <w:rStyle w:val="CharStyle40"/>
              </w:rPr>
              <w:t>Удельный расход сточных вод на 1 м</w:t>
            </w:r>
            <w:r>
              <w:rPr>
                <w:rStyle w:val="CharStyle40"/>
                <w:vertAlign w:val="superscript"/>
              </w:rPr>
              <w:t>2</w:t>
            </w:r>
            <w:r>
              <w:rPr>
                <w:rStyle w:val="CharStyle40"/>
              </w:rPr>
              <w:t xml:space="preserve"> жилои площади, 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3,70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619" w:h="5477" w:wrap="around" w:vAnchor="page" w:hAnchor="page" w:x="1158" w:y="27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3,69</w:t>
            </w:r>
          </w:p>
        </w:tc>
      </w:tr>
    </w:tbl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40" w:right="1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 показатели надежности функционирования системы водоотведения не определены, в связи с отсутствием необходимых исходных данных.</w:t>
      </w:r>
    </w:p>
    <w:p>
      <w:pPr>
        <w:pStyle w:val="Style12"/>
        <w:framePr w:w="9629" w:h="6666" w:hRule="exact" w:wrap="around" w:vAnchor="page" w:hAnchor="page" w:x="1153" w:y="8609"/>
        <w:tabs>
          <w:tab w:leader="none" w:pos="2947" w:val="center"/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14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Целевые</w:t>
        <w:tab/>
        <w:t>показатели</w:t>
        <w:tab/>
        <w:t>воздействия на окружающую среду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устанавливаются в соответствии с:</w:t>
      </w:r>
    </w:p>
    <w:p>
      <w:pPr>
        <w:pStyle w:val="Style12"/>
        <w:framePr w:w="9629" w:h="6666" w:hRule="exact" w:wrap="around" w:vAnchor="page" w:hAnchor="page" w:x="1153" w:y="8609"/>
        <w:tabs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0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выбросов и сбросов веществ и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микроорганизмов;</w:t>
      </w:r>
    </w:p>
    <w:p>
      <w:pPr>
        <w:pStyle w:val="Style12"/>
        <w:framePr w:w="9629" w:h="6666" w:hRule="exact" w:wrap="around" w:vAnchor="page" w:hAnchor="page" w:x="1153" w:y="8609"/>
        <w:tabs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10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образования отходов производства и потребления и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лимиты на их размещение;</w:t>
      </w:r>
    </w:p>
    <w:p>
      <w:pPr>
        <w:pStyle w:val="Style12"/>
        <w:framePr w:w="9629" w:h="6666" w:hRule="exact" w:wrap="around" w:vAnchor="page" w:hAnchor="page" w:x="1153" w:y="8609"/>
        <w:tabs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0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допустимых физических воздействий (количество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140" w:right="1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тепла, уровни шума, вибрации, ионизирующего излучения, напряженности электромагнитных полей и иных физических воздействий);</w:t>
      </w:r>
    </w:p>
    <w:p>
      <w:pPr>
        <w:pStyle w:val="Style12"/>
        <w:framePr w:w="9629" w:h="6666" w:hRule="exact" w:wrap="around" w:vAnchor="page" w:hAnchor="page" w:x="1153" w:y="8609"/>
        <w:tabs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4" w:line="240" w:lineRule="exact"/>
        <w:ind w:left="10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допустимого изъятия компонентов природной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18" w:line="240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среды;</w:t>
      </w:r>
    </w:p>
    <w:p>
      <w:pPr>
        <w:pStyle w:val="Style12"/>
        <w:framePr w:w="9629" w:h="6666" w:hRule="exact" w:wrap="around" w:vAnchor="page" w:hAnchor="page" w:x="1153" w:y="8609"/>
        <w:tabs>
          <w:tab w:leader="none" w:pos="948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102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допустимой антропогенной нагрузки на</w:t>
      </w:r>
    </w:p>
    <w:p>
      <w:pPr>
        <w:pStyle w:val="Style12"/>
        <w:framePr w:w="9629" w:h="6666" w:hRule="exact" w:wrap="around" w:vAnchor="page" w:hAnchor="page" w:x="1153" w:y="8609"/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окружающую среду;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355" w:h="3272" w:hRule="exact" w:wrap="around" w:vAnchor="page" w:hAnchor="page" w:x="1290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>
      <w:pPr>
        <w:pStyle w:val="Style12"/>
        <w:framePr w:w="9355" w:h="3272" w:hRule="exact" w:wrap="around" w:vAnchor="page" w:hAnchor="page" w:x="1290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о показателях воздействия на окружающую среду организаций, обеспечивающих потребителей сельского поселения отводом сточных вод отсутствуют.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55" w:h="9986" w:hRule="exact" w:wrap="around" w:vAnchor="page" w:hAnchor="page" w:x="1278" w:y="1215"/>
        <w:tabs>
          <w:tab w:leader="none" w:pos="21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3" w:line="240" w:lineRule="exact"/>
        <w:ind w:left="1580" w:right="0" w:firstLine="0"/>
      </w:pPr>
      <w:bookmarkStart w:id="80" w:name="bookmark8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ИНВЕСТИЦИОННЫХ ПРОЕКТОВ</w:t>
      </w:r>
      <w:bookmarkEnd w:id="80"/>
    </w:p>
    <w:p>
      <w:pPr>
        <w:pStyle w:val="Style12"/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584" w:line="370" w:lineRule="exact"/>
        <w:ind w:left="20" w:right="0" w:firstLine="700"/>
      </w:pPr>
      <w:bookmarkStart w:id="81" w:name="bookmark81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инвестиционных проектов в отношении соответствующих систем коммунальной инфраструктуры представлен ниже.</w:t>
      </w:r>
      <w:bookmarkEnd w:id="81"/>
    </w:p>
    <w:p>
      <w:pPr>
        <w:pStyle w:val="Style12"/>
        <w:numPr>
          <w:ilvl w:val="1"/>
          <w:numId w:val="35"/>
        </w:numPr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20" w:right="0" w:firstLine="0"/>
      </w:pPr>
      <w:bookmarkStart w:id="82" w:name="bookmark82"/>
      <w:r>
        <w:rPr>
          <w:rStyle w:val="CharStyle28"/>
        </w:rPr>
        <w:t xml:space="preserve"> Инвестиционные проекты в отношении системы водоснабжения</w:t>
      </w:r>
      <w:bookmarkEnd w:id="82"/>
    </w:p>
    <w:p>
      <w:pPr>
        <w:pStyle w:val="Style12"/>
        <w:framePr w:w="9355" w:h="9986" w:hRule="exact" w:wrap="around" w:vAnchor="page" w:hAnchor="page" w:x="1278" w:y="1215"/>
        <w:tabs>
          <w:tab w:leader="none" w:pos="2330" w:val="left"/>
          <w:tab w:leader="none" w:pos="4566" w:val="left"/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</w:t>
        <w:tab/>
        <w:t>инвестиционных</w:t>
        <w:tab/>
        <w:t>проектов</w:t>
        <w:tab/>
        <w:t>в отношении системы</w:t>
      </w:r>
    </w:p>
    <w:p>
      <w:pPr>
        <w:pStyle w:val="Style12"/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584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водоснабжения в соответствии с мероприятиями, включенными в программу «Схема водоснабжения и водоотведения сельского поселения Тамбовское Терского муниципального района Кабардино-Балкарской Республики» приведен в таблице.</w:t>
      </w:r>
    </w:p>
    <w:p>
      <w:pPr>
        <w:pStyle w:val="Style12"/>
        <w:numPr>
          <w:ilvl w:val="1"/>
          <w:numId w:val="35"/>
        </w:numPr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23" w:line="240" w:lineRule="exact"/>
        <w:ind w:left="20" w:right="0" w:firstLine="0"/>
      </w:pPr>
      <w:bookmarkStart w:id="83" w:name="bookmark83"/>
      <w:r>
        <w:rPr>
          <w:rStyle w:val="CharStyle28"/>
        </w:rPr>
        <w:t xml:space="preserve"> Инвестиционные проекты в отношении системы теплоснабжения</w:t>
      </w:r>
      <w:bookmarkEnd w:id="83"/>
    </w:p>
    <w:p>
      <w:pPr>
        <w:pStyle w:val="Style12"/>
        <w:framePr w:w="9355" w:h="9986" w:hRule="exact" w:wrap="around" w:vAnchor="page" w:hAnchor="page" w:x="1278" w:y="1215"/>
        <w:tabs>
          <w:tab w:leader="none" w:pos="2330" w:val="left"/>
          <w:tab w:leader="none" w:pos="4566" w:val="left"/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</w:t>
        <w:tab/>
        <w:t>инвестиционных</w:t>
        <w:tab/>
        <w:t>проектов</w:t>
        <w:tab/>
        <w:t>в отношении системы</w:t>
      </w:r>
    </w:p>
    <w:p>
      <w:pPr>
        <w:pStyle w:val="Style12"/>
        <w:framePr w:w="9355" w:h="9986" w:hRule="exact" w:wrap="around" w:vAnchor="page" w:hAnchor="page" w:x="1278" w:y="1215"/>
        <w:tabs>
          <w:tab w:leader="none" w:pos="2330" w:val="left"/>
          <w:tab w:leader="none" w:pos="45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теплоснабжения</w:t>
        <w:tab/>
        <w:t>в соответствии</w:t>
        <w:tab/>
        <w:t>с мероприятиями, включенными в</w:t>
      </w:r>
    </w:p>
    <w:p>
      <w:pPr>
        <w:pStyle w:val="Style12"/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48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программу «Схема теплоснабжения сельского поселения Тамбовское Терского муниципального района Кабардино-Балкарской Республики» приведен в таблице.</w:t>
      </w:r>
    </w:p>
    <w:p>
      <w:pPr>
        <w:pStyle w:val="Style12"/>
        <w:numPr>
          <w:ilvl w:val="1"/>
          <w:numId w:val="35"/>
        </w:numPr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bookmarkStart w:id="84" w:name="bookmark84"/>
      <w:r>
        <w:rPr>
          <w:rStyle w:val="CharStyle28"/>
        </w:rPr>
        <w:t xml:space="preserve"> Инвестиционные проекты в области энергосбережения 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</w:t>
      </w:r>
      <w:r>
        <w:rPr>
          <w:rStyle w:val="CharStyle28"/>
        </w:rPr>
        <w:t>повышения энергетической эффективности</w:t>
      </w:r>
      <w:bookmarkEnd w:id="84"/>
    </w:p>
    <w:p>
      <w:pPr>
        <w:pStyle w:val="Style12"/>
        <w:framePr w:w="9355" w:h="9986" w:hRule="exact" w:wrap="around" w:vAnchor="page" w:hAnchor="page" w:x="1278" w:y="1215"/>
        <w:tabs>
          <w:tab w:leader="none" w:pos="2330" w:val="left"/>
          <w:tab w:leader="none" w:pos="4617" w:val="left"/>
          <w:tab w:leader="none" w:pos="93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Перечень инвестиционных проектов в области энергосбережения и повышения энергетической эффективности в соответствии с мероприятиями, включенными в</w:t>
        <w:tab/>
        <w:t>Государственную</w:t>
        <w:tab/>
        <w:t>программу</w:t>
        <w:tab/>
        <w:t>«Энергоэффективность и</w:t>
      </w:r>
    </w:p>
    <w:p>
      <w:pPr>
        <w:pStyle w:val="Style12"/>
        <w:framePr w:w="9355" w:h="9986" w:hRule="exact" w:wrap="around" w:vAnchor="page" w:hAnchor="page" w:x="1278" w:y="121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развитие энергетики в Кабардино-Балкарской Республике» на 2013-2020 годы приведен в таблице.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framePr w:wrap="around" w:vAnchor="page" w:hAnchor="page" w:x="1285" w:y="10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29. Состав, объемы работ, объемы требуемых капитальных вложений и ожидаемые результаты реализации от</w:t>
      </w:r>
    </w:p>
    <w:tbl>
      <w:tblPr>
        <w:tblOverlap w:val="never"/>
        <w:tblLayout w:type="fixed"/>
        <w:jc w:val="left"/>
      </w:tblPr>
      <w:tblGrid>
        <w:gridCol w:w="998"/>
        <w:gridCol w:w="4699"/>
        <w:gridCol w:w="888"/>
        <w:gridCol w:w="590"/>
        <w:gridCol w:w="1723"/>
        <w:gridCol w:w="5563"/>
      </w:tblGrid>
      <w:tr>
        <w:trPr>
          <w:trHeight w:val="250" w:hRule="exact"/>
        </w:trPr>
        <w:tc>
          <w:tcPr>
            <w:shd w:val="clear" w:color="auto" w:fill="FFFFFF"/>
            <w:gridSpan w:val="3"/>
            <w:tcBorders/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00" w:right="0" w:firstLine="0"/>
            </w:pPr>
            <w:r>
              <w:rPr>
                <w:rStyle w:val="CharStyle39"/>
              </w:rPr>
              <w:t>мероприятий в сфере водоснабжения сельского поселения Т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00" w:right="0" w:firstLine="0"/>
            </w:pPr>
            <w:r>
              <w:rPr>
                <w:rStyle w:val="CharStyle39"/>
              </w:rPr>
              <w:t>амбовское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Наименование, технические характеристики состава работ, объемы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Едн.</w:t>
            </w:r>
          </w:p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К-</w:t>
            </w:r>
          </w:p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Ожидаемый результат от мероприятий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Реконструкция сетей водоснабжения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10702,312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Реализация мероприятий позволит обеспечить централизованным водоснабжением население сельского поселения, улучшить качество питьевой воды, снизить опасность возникновения и распространения заболеваний, вызываемых некачественной питьевой водой, обеспечит надежность систем водоснабжения, а также увеличит объем оказываемых населению коммунальных услуг, создать комфортные условия в сфере жилищно-коммунальных услуг населению.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Реконструкция насосного оборудования на скважине №210 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25,0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4462" w:h="3590" w:wrap="around" w:vAnchor="page" w:hAnchor="page" w:x="1189" w:y="1300"/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Установка приборов учета у абонентов и на скважине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462" w:h="3590" w:wrap="around" w:vAnchor="page" w:hAnchor="page" w:x="1189" w:y="13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462" w:h="3590" w:wrap="around" w:vAnchor="page" w:hAnchor="page" w:x="1189" w:y="13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465,86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4462" w:h="3590" w:wrap="around" w:vAnchor="page" w:hAnchor="page" w:x="1189" w:y="1300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Строительство емкости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570,0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4462" w:h="3590" w:wrap="around" w:vAnchor="page" w:hAnchor="page" w:x="1189" w:y="1300"/>
            </w:pPr>
          </w:p>
        </w:tc>
      </w:tr>
      <w:tr>
        <w:trPr>
          <w:trHeight w:val="1066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ИТОГО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462" w:h="3590" w:wrap="around" w:vAnchor="page" w:hAnchor="page" w:x="1189" w:y="130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11763,172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framePr w:w="14462" w:h="3590" w:wrap="around" w:vAnchor="page" w:hAnchor="page" w:x="1189" w:y="1300"/>
            </w:pPr>
          </w:p>
        </w:tc>
      </w:tr>
    </w:tbl>
    <w:p>
      <w:pPr>
        <w:pStyle w:val="Style32"/>
        <w:framePr w:w="14328" w:h="622" w:hRule="exact" w:wrap="around" w:vAnchor="page" w:hAnchor="page" w:x="1285" w:y="5099"/>
        <w:tabs>
          <w:tab w:leader="underscore" w:pos="8774" w:val="left"/>
          <w:tab w:leader="underscore" w:pos="143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30. Состав, объемы работ, объемы требуемых капитальных вложений и ожидаемые результаты реализации от </w:t>
      </w:r>
      <w:r>
        <w:rPr>
          <w:rStyle w:val="CharStyle34"/>
          <w:b/>
          <w:bCs/>
        </w:rPr>
        <w:t>мероприятий в сфере теплоснабжения сельского поселения Тамбовское</w:t>
      </w:r>
      <w:r>
        <w:rPr>
          <w:lang w:val="ru-RU" w:eastAsia="ru-RU" w:bidi="ru-RU"/>
          <w:w w:val="100"/>
          <w:color w:val="000000"/>
          <w:position w:val="0"/>
        </w:rPr>
        <w:tab/>
        <w:tab/>
      </w:r>
    </w:p>
    <w:tbl>
      <w:tblPr>
        <w:tblOverlap w:val="never"/>
        <w:tblLayout w:type="fixed"/>
        <w:jc w:val="left"/>
      </w:tblPr>
      <w:tblGrid>
        <w:gridCol w:w="1003"/>
        <w:gridCol w:w="4742"/>
        <w:gridCol w:w="893"/>
        <w:gridCol w:w="566"/>
        <w:gridCol w:w="1699"/>
        <w:gridCol w:w="5616"/>
      </w:tblGrid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39"/>
              </w:rPr>
              <w:t>Наименование, технические характеристики состава работ, объемы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00" w:lineRule="exact"/>
              <w:ind w:left="0" w:right="0" w:firstLine="0"/>
            </w:pPr>
            <w:r>
              <w:rPr>
                <w:rStyle w:val="CharStyle39"/>
              </w:rPr>
              <w:t>Едн.</w:t>
            </w:r>
          </w:p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3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160" w:right="0" w:firstLine="0"/>
            </w:pPr>
            <w:r>
              <w:rPr>
                <w:rStyle w:val="CharStyle39"/>
              </w:rPr>
              <w:t>К-</w:t>
            </w:r>
          </w:p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160" w:right="0" w:firstLine="0"/>
            </w:pPr>
            <w:r>
              <w:rPr>
                <w:rStyle w:val="CharStyle39"/>
              </w:rPr>
              <w:t>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39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Ожидаемый результат от мероприятий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40"/>
              </w:rPr>
              <w:t>Реконструкция оборудования котельной и распределительных трубопроводов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40"/>
              </w:rPr>
              <w:t>190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1669,6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520" w:h="1099" w:wrap="around" w:vAnchor="page" w:hAnchor="page" w:x="1160" w:y="56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Повышение эффективности и надежности работы системы теплоснабжения. Снижение потерь.</w:t>
            </w:r>
          </w:p>
        </w:tc>
      </w:tr>
    </w:tbl>
    <w:p>
      <w:pPr>
        <w:pStyle w:val="Style32"/>
        <w:framePr w:w="14304" w:h="626" w:hRule="exact" w:wrap="around" w:vAnchor="page" w:hAnchor="page" w:x="1285" w:y="6976"/>
        <w:tabs>
          <w:tab w:leader="underscore" w:pos="14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31. Состав, объемы работ, объемы требуемых капитальных вложений и ожидаемые результаты реализации от </w:t>
      </w:r>
      <w:r>
        <w:rPr>
          <w:rStyle w:val="CharStyle34"/>
          <w:b/>
          <w:bCs/>
        </w:rPr>
        <w:t>мероприятий в области энергосбережения и повышения энергетической эффективности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893"/>
        <w:gridCol w:w="4819"/>
        <w:gridCol w:w="3115"/>
        <w:gridCol w:w="5539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9"/>
              </w:rPr>
              <w:t>Наименование, технические характеристики состава работ, объемы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Стоимость, тыс. руб.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Ожидаемый результат от мероприятий</w:t>
            </w:r>
          </w:p>
        </w:tc>
      </w:tr>
      <w:tr>
        <w:trPr>
          <w:trHeight w:val="19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Оснащение энергоэкономичными осветительными приборами и энергосберегающими источниками света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276,50</w:t>
            </w:r>
            <w:r>
              <w:rPr>
                <w:rStyle w:val="CharStyle40"/>
                <w:vertAlign w:val="superscript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4366" w:h="2525" w:wrap="around" w:vAnchor="page" w:hAnchor="page" w:x="1237" w:y="755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Обеспечение потребностей населения и экономики Республики в энергетических ресурсах. Сокращение числа аварий инженерных систем коммунального хозяйства на 50%. Использование энергосберегающих технологий и оборудования при новом строительстве, реконструкции.</w:t>
            </w:r>
          </w:p>
        </w:tc>
      </w:tr>
    </w:tbl>
    <w:p>
      <w:pPr>
        <w:pStyle w:val="Style21"/>
        <w:framePr w:wrap="around" w:vAnchor="page" w:hAnchor="page" w:x="1251" w:y="107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2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6</w:t>
      </w:r>
      <w:r>
        <w:rPr>
          <w:lang w:val="ru-RU" w:eastAsia="ru-RU" w:bidi="ru-RU"/>
          <w:w w:val="100"/>
          <w:color w:val="000000"/>
          <w:position w:val="0"/>
        </w:rPr>
        <w:t xml:space="preserve"> В целом на Терский муниципальный район Кабардино-Балкарский Республики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60" w:h="12778" w:hRule="exact" w:wrap="around" w:vAnchor="page" w:hAnchor="page" w:x="1274" w:y="965"/>
        <w:tabs>
          <w:tab w:leader="none" w:pos="16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379" w:lineRule="exact"/>
        <w:ind w:left="2560" w:right="1140" w:hanging="1400"/>
      </w:pPr>
      <w:bookmarkStart w:id="85" w:name="bookmark85"/>
      <w:bookmarkStart w:id="86" w:name="bookmark86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ПРЕДЛОЖЕНИЯ ПО ОРГАНИЗАЦИИ РЕАЛИЗАЦИИ ИНВЕСТИЦИОННЫХ ПРОЕКТОВ</w:t>
      </w:r>
      <w:bookmarkEnd w:id="85"/>
      <w:bookmarkEnd w:id="86"/>
    </w:p>
    <w:p>
      <w:pPr>
        <w:pStyle w:val="Style12"/>
        <w:framePr w:w="9360" w:h="12778" w:hRule="exact" w:wrap="around" w:vAnchor="page" w:hAnchor="page" w:x="1274" w:y="965"/>
        <w:tabs>
          <w:tab w:leader="none" w:pos="4521" w:val="right"/>
          <w:tab w:leader="none" w:pos="4667" w:val="left"/>
          <w:tab w:leader="none" w:pos="93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организации реализации инвестиционных проектов необходимо предусмотреть механизм, направленный на обеспечение их соответствия генеральному плану сельского поселения, мероприятиям, предусмотренным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</w:t>
        <w:tab/>
        <w:t>соответствующими</w:t>
        <w:tab/>
        <w:t>межрегиональными,</w:t>
        <w:tab/>
        <w:t>региональными</w:t>
      </w:r>
    </w:p>
    <w:p>
      <w:pPr>
        <w:pStyle w:val="Style12"/>
        <w:framePr w:w="9360" w:h="12778" w:hRule="exact" w:wrap="around" w:vAnchor="page" w:hAnchor="page" w:x="1274" w:y="965"/>
        <w:tabs>
          <w:tab w:leader="none" w:pos="4521" w:val="right"/>
          <w:tab w:leader="none" w:pos="4662" w:val="left"/>
          <w:tab w:leader="none" w:pos="93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программами газификации, схемами теплоснабжения, схемами водоснабжения и водоотведения, программами в области обращения с отходами, а также на недопущение отсутствия взаимосвязи мероприятий, предусмотренных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</w:t>
        <w:tab/>
        <w:t>соответствующими</w:t>
        <w:tab/>
        <w:t>межрегиональными,</w:t>
        <w:tab/>
        <w:t>региональными</w:t>
      </w:r>
    </w:p>
    <w:p>
      <w:pPr>
        <w:pStyle w:val="Style12"/>
        <w:framePr w:w="9360" w:h="12778" w:hRule="exact" w:wrap="around" w:vAnchor="page" w:hAnchor="page" w:x="1274" w:y="96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программами газификации, схемами теплоснабжения, электроснабжения, схемами водоснабжения и водоотведения, программами в области обращения с отходами.</w:t>
      </w:r>
    </w:p>
    <w:p>
      <w:pPr>
        <w:pStyle w:val="Style12"/>
        <w:framePr w:w="9360" w:h="12778" w:hRule="exact" w:wrap="around" w:vAnchor="page" w:hAnchor="page" w:x="1274" w:y="96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Реализация мероприятий Программы будет осуществляться посредством следующих механизмов:</w:t>
      </w:r>
    </w:p>
    <w:p>
      <w:pPr>
        <w:pStyle w:val="Style12"/>
        <w:framePr w:w="9360" w:h="12778" w:hRule="exact" w:wrap="around" w:vAnchor="page" w:hAnchor="page" w:x="1274" w:y="965"/>
        <w:tabs>
          <w:tab w:leader="none" w:pos="4592" w:val="left"/>
          <w:tab w:leader="none" w:pos="936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инструментом реализации Программы являются инвестиционные и производственные программы</w:t>
        <w:tab/>
        <w:t>ресурсоснабжающих</w:t>
        <w:tab/>
        <w:t>организаций и</w:t>
      </w:r>
    </w:p>
    <w:p>
      <w:pPr>
        <w:pStyle w:val="Style12"/>
        <w:framePr w:w="9360" w:h="12778" w:hRule="exact" w:wrap="around" w:vAnchor="page" w:hAnchor="page" w:x="1274" w:y="965"/>
        <w:tabs>
          <w:tab w:leader="none" w:pos="4521" w:val="right"/>
          <w:tab w:leader="none" w:pos="46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организаций коммунального комплекса. Одним из источников финансирования таких программ организаций коммунального комплекса являются тарифы, в том числе долгосрочные, утвержденные с учетом их доступности</w:t>
        <w:tab/>
        <w:t>для потребителей,</w:t>
        <w:tab/>
        <w:t>а также плата за подключение</w:t>
      </w:r>
    </w:p>
    <w:p>
      <w:pPr>
        <w:pStyle w:val="Style12"/>
        <w:framePr w:w="9360" w:h="12778" w:hRule="exact" w:wrap="around" w:vAnchor="page" w:hAnchor="page" w:x="1274" w:y="965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(технологическое присоединение) объектов капитального строительства к системам коммунальной инфраструктуры.</w:t>
      </w:r>
    </w:p>
    <w:p>
      <w:pPr>
        <w:pStyle w:val="Style12"/>
        <w:framePr w:w="9360" w:h="12778" w:hRule="exact" w:wrap="around" w:vAnchor="page" w:hAnchor="page" w:x="1274" w:y="965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20" w:right="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недоступности тарифов, частичное финансирование осуществляется за счет бюджетных источников и привлеченных средств, в том числе заемных средств (кредит) и собственных капиталов инвестора.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55" w:h="7976" w:hRule="exact" w:wrap="around" w:vAnchor="page" w:hAnchor="page" w:x="1276" w:y="810"/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120" w:right="120" w:firstLine="260"/>
      </w:pPr>
      <w:bookmarkStart w:id="87" w:name="bookmark87"/>
      <w:bookmarkStart w:id="88" w:name="bookmark88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ОБОСНОВАНИЕ ИСПОЛЬЗОВАНИЯ В КАЧЕСТВЕ ИСТОЧНИКОВ ФИНАНСИРОВАНИЯ ИНВЕСТИЦИОННЫХ ПРОЕКТОВ ТАРИФОВ, ПЛАТЫ ЗА ПОДКЛЮЧЕНИЕ (ТЕХНОЛОГИЧЕСКОЕ ПРИСОЕДИНЕНИЕ)</w:t>
      </w:r>
      <w:bookmarkEnd w:id="87"/>
      <w:bookmarkEnd w:id="88"/>
    </w:p>
    <w:p>
      <w:pPr>
        <w:pStyle w:val="Style23"/>
        <w:framePr w:w="9355" w:h="7976" w:hRule="exact" w:wrap="around" w:vAnchor="page" w:hAnchor="page" w:x="1276" w:y="810"/>
        <w:widowControl w:val="0"/>
        <w:keepNext w:val="0"/>
        <w:keepLines w:val="0"/>
        <w:shd w:val="clear" w:color="auto" w:fill="auto"/>
        <w:bidi w:val="0"/>
        <w:spacing w:before="0" w:after="308" w:line="379" w:lineRule="exact"/>
        <w:ind w:left="0" w:right="0" w:firstLine="0"/>
      </w:pPr>
      <w:bookmarkStart w:id="89" w:name="bookmark89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ОБЪЕКТОВ КАПИТАЛЬНОГО СТРОИТЕЛЬСТВА К СИСТЕМАМ КОММУНАЛЬНОЙ ИНФРАСТРУКТУРЫ</w:t>
      </w:r>
      <w:bookmarkEnd w:id="89"/>
    </w:p>
    <w:p>
      <w:pPr>
        <w:pStyle w:val="Style12"/>
        <w:framePr w:w="9355" w:h="7976" w:hRule="exact" w:wrap="around" w:vAnchor="page" w:hAnchor="page" w:x="1276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6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Использование в качестве источников финансирования 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 напрямую предусмотрено законодательством и является необходимым инструментом, позволяющим расширить источники финансирования инвестиционных мероприятий, реализуемых организациями коммунального комплекса.</w:t>
      </w:r>
    </w:p>
    <w:p>
      <w:pPr>
        <w:pStyle w:val="Style12"/>
        <w:framePr w:w="9355" w:h="7976" w:hRule="exact" w:wrap="around" w:vAnchor="page" w:hAnchor="page" w:x="1276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6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 соответствии с действующим законодательством и по согласованию с органами тарифного регулирования в тарифы ресурсоснабжающих организаций может включаться инвестиционная составляющая, необходимая для реализации указанных выше мероприятий.</w:t>
      </w:r>
    </w:p>
    <w:p>
      <w:pPr>
        <w:pStyle w:val="Style12"/>
        <w:framePr w:w="9355" w:h="7976" w:hRule="exact" w:wrap="around" w:vAnchor="page" w:hAnchor="page" w:x="1276" w:y="810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6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Включение инвестиционной надбавки в тарифы для реализации проектов инвестиционных программ возможно при условии соответствия тарифов доступному уровню совокупного платежа граждан за коммунальные услуги, оценка которого представлена </w:t>
      </w:r>
      <w:r>
        <w:rPr>
          <w:rStyle w:val="CharStyle41"/>
          <w:lang w:val="ru-RU" w:eastAsia="ru-RU" w:bidi="ru-RU"/>
        </w:rPr>
        <w:t>в разделе 13.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numPr>
          <w:ilvl w:val="0"/>
          <w:numId w:val="35"/>
        </w:numPr>
        <w:framePr w:w="9360" w:h="15021" w:hRule="exact" w:wrap="around" w:vAnchor="page" w:hAnchor="page" w:x="1288" w:y="835"/>
        <w:tabs>
          <w:tab w:leader="none" w:pos="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280" w:right="0" w:firstLine="0"/>
      </w:pPr>
      <w:bookmarkStart w:id="90" w:name="bookmark9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ОЦЕНКИ СОВОКУПНОГО ПЛАТЕЖА ГРАЖДАН ЗА</w:t>
      </w:r>
      <w:bookmarkEnd w:id="90"/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КОММУНАЛЬНЫЕ УСЛУГИ НА СООТВЕТСТВИЕ КРИТЕРИЯМ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center"/>
        <w:spacing w:before="0" w:after="428" w:line="37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ДОСТУПНОСТИ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Одним из важне</w:t>
      </w:r>
      <w:r>
        <w:rPr>
          <w:rStyle w:val="CharStyle28"/>
        </w:rPr>
        <w:t>йши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х требований к Программам комплексного развития систем коммунальной инфраструктуры является обеспечение доступности для граждан прогнозируемой платы за потребляемые коммунальные услуги с учетом затрат на реализацию таких программ.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Согласно Приказу Минрегиона РФ от 23.08.2010 №378 «Об утверждении методических указаний по расчету предельных индексов изменения размера платы граждан за коммунальные услуги» критериями доступности для граждан платы за коммунальные услуги являются:</w:t>
      </w:r>
    </w:p>
    <w:p>
      <w:pPr>
        <w:pStyle w:val="Style12"/>
        <w:framePr w:w="9360" w:h="15021" w:hRule="exact" w:wrap="around" w:vAnchor="page" w:hAnchor="page" w:x="1288" w:y="835"/>
        <w:tabs>
          <w:tab w:leader="none" w:pos="1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расходов на коммунальные услуги в совокупном доходе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семьи;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уровень собираемости платежей за коммунальные услуги;</w:t>
      </w:r>
    </w:p>
    <w:p>
      <w:pPr>
        <w:pStyle w:val="Style12"/>
        <w:framePr w:w="9360" w:h="15021" w:hRule="exact" w:wrap="around" w:vAnchor="page" w:hAnchor="page" w:x="1288" w:y="835"/>
        <w:tabs>
          <w:tab w:leader="none" w:pos="1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населения с доходами ниже прожиточного минимума;</w:t>
      </w:r>
    </w:p>
    <w:p>
      <w:pPr>
        <w:pStyle w:val="Style12"/>
        <w:framePr w:w="9360" w:h="15021" w:hRule="exact" w:wrap="around" w:vAnchor="page" w:hAnchor="page" w:x="1288" w:y="835"/>
        <w:tabs>
          <w:tab w:leader="none" w:pos="1370" w:val="left"/>
          <w:tab w:leader="none" w:pos="934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880" w:right="0" w:firstLine="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получателей субсидий на оплату коммунальных услуг</w:t>
        <w:tab/>
        <w:t>в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общей численности населения.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этом важнейшим критерием доступности услуг организаций коммунального комплекса, отражающим доступность оплаты потребителями стоимости коммунальных услуг, является доля расходов на оплату указанных услуг в совокупном доходе населения.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 совокупного платежа граждан за потребленные коммунальные услуги определен путем суммирования платежей по каждому из видов коммунальных услуг.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Платеж населения по каждому виду услуг определен как произведение потребленного ресурса (в соответствии с Разделом Обоснование прогнозируемого спроса на коммунальные ресурсы), на прогнозируемый тариф соответствующего коммунального ресурса для населения. Прогноз тарифов на коммунальные ресурсы (услуги) осуществлен согласно прогнозу долгосрочного социально-экономического развития Российской Федерации, на период до 2030 года разработанному Министерством экономического развития Российской Федерации, утвержденному Правительством Российской Федерации.</w:t>
      </w:r>
    </w:p>
    <w:p>
      <w:pPr>
        <w:pStyle w:val="Style12"/>
        <w:framePr w:w="9360" w:h="15021" w:hRule="exact" w:wrap="around" w:vAnchor="page" w:hAnchor="page" w:x="1288" w:y="835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расчета доли расходов на коммунальные услуги в совокупном доходе семьи принимается среднедушевой денежный доход с учетом тенденции распределения населения по величине среднедушевых денежных доходов в Кабардино-Балкарской Республике по данным Территориального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органа Федеральной службы государственной статистики по Северо</w:t>
        <w:softHyphen/>
        <w:t xml:space="preserve">Кавказскому федеральному округу (извлеченных из сети Интернет: </w:t>
      </w:r>
      <w:r>
        <w:fldChar w:fldCharType="begin"/>
      </w:r>
      <w:r>
        <w:rPr>
          <w:rStyle w:val="CharStyle41"/>
        </w:rPr>
        <w:instrText> HYPERLINK "http://stavstat.gks" </w:instrText>
      </w:r>
      <w:r>
        <w:fldChar w:fldCharType="separate"/>
      </w:r>
      <w:r>
        <w:rPr>
          <w:rStyle w:val="Hyperlink"/>
        </w:rPr>
        <w:t>http://stavstat.gks</w:t>
      </w:r>
      <w:r>
        <w:fldChar w:fldCharType="end"/>
      </w:r>
      <w:r>
        <w:rPr>
          <w:rStyle w:val="CharStyle41"/>
        </w:rPr>
        <w:t>. ru).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Оценка доступности для граждан прогнозируемой платы за коммунальные услуги по критерию «доля расходов на коммунальные услуги в совокупном доходе семьи» проводится путем сопоставления прогнозируемой доли расходов средней семьи (среднего домохозяйства) на жилищно-коммунальные услуги (а в их составе на коммунальные услуги) в среднем прогнозном доходе семьи со значением соответствующего критерия.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Прогнозируемая совокупная плата населения сельского поселения по всем видам коммунальных услуг определяется путем суммирования платежей населения по каждому из видов коммунальных услуг, оказываемых населению, в данном сельском поселении. Исходными данными для определения прогнозируемой совокупной платы населения сельского поселения по всем видам коммунальных услуг являются: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прогнозируемые тарифы по соответствующим видам коммунальных услуг;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120" w:right="120" w:firstLine="86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прогнозируемый спрос на коммунальные услуги для хозяйственно-бытовых нужд населения.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прогнозируемых тарифов за основу был принят средневзвешенный тариф по соответствующим коммунальным ресурсам на 2019 годы.</w:t>
      </w:r>
    </w:p>
    <w:p>
      <w:pPr>
        <w:pStyle w:val="Style12"/>
        <w:framePr w:w="9571" w:h="9429" w:hRule="exact" w:wrap="around" w:vAnchor="page" w:hAnchor="page" w:x="1182" w:y="79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Тарифы на соответствующие коммунальные ресурсы по состоянию на 01.02.2019 года приведены в таблице:</w:t>
      </w:r>
    </w:p>
    <w:p>
      <w:pPr>
        <w:pStyle w:val="Style32"/>
        <w:framePr w:wrap="around" w:vAnchor="page" w:hAnchor="page" w:x="1302" w:y="1050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32. Тарифы на коммунальные ресурсы по состоянию на 2019 г.</w:t>
      </w:r>
    </w:p>
    <w:tbl>
      <w:tblPr>
        <w:tblOverlap w:val="never"/>
        <w:tblLayout w:type="fixed"/>
        <w:jc w:val="left"/>
      </w:tblPr>
      <w:tblGrid>
        <w:gridCol w:w="2875"/>
        <w:gridCol w:w="2126"/>
        <w:gridCol w:w="2131"/>
        <w:gridCol w:w="2429"/>
      </w:tblGrid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Коммунальный ресурс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Тариф с 01.01.2019 г. по 30.06.2019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Тариф с 01.07.2019 г. по 31.12.2019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Средневзвешенный тариф на 2019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Электрическая энергия</w:t>
            </w:r>
            <w:r>
              <w:rPr>
                <w:rStyle w:val="CharStyle40"/>
                <w:vertAlign w:val="superscript"/>
              </w:rPr>
              <w:t>7</w:t>
            </w:r>
            <w:r>
              <w:rPr>
                <w:rStyle w:val="CharStyle40"/>
              </w:rPr>
              <w:t>, руб./кВт/ч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2,62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2,65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2,635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Газоснабжение</w:t>
            </w:r>
            <w:r>
              <w:rPr>
                <w:rStyle w:val="CharStyle40"/>
                <w:vertAlign w:val="superscript"/>
              </w:rPr>
              <w:t>8</w:t>
            </w:r>
            <w:r>
              <w:rPr>
                <w:rStyle w:val="CharStyle40"/>
              </w:rPr>
              <w:t>,</w:t>
            </w:r>
          </w:p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руб./тыс.м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5715,66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5809,26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5762,46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Холодное водоснабжение</w:t>
            </w:r>
            <w:r>
              <w:rPr>
                <w:rStyle w:val="CharStyle40"/>
                <w:vertAlign w:val="superscript"/>
              </w:rPr>
              <w:t>9</w:t>
            </w:r>
            <w:r>
              <w:rPr>
                <w:rStyle w:val="CharStyle40"/>
              </w:rPr>
              <w:t>, руб./м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15,14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16,18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15,66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Водоотведение</w:t>
            </w:r>
            <w:r>
              <w:rPr>
                <w:rStyle w:val="CharStyle40"/>
                <w:vertAlign w:val="superscript"/>
              </w:rPr>
              <w:t>10</w:t>
            </w:r>
            <w:r>
              <w:rPr>
                <w:rStyle w:val="CharStyle40"/>
              </w:rPr>
              <w:t>, руб./м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10,23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10,48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62" w:h="2827" w:wrap="around" w:vAnchor="page" w:hAnchor="page" w:x="1187" w:y="107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10,355</w:t>
            </w:r>
          </w:p>
        </w:tc>
      </w:tr>
    </w:tbl>
    <w:p>
      <w:pPr>
        <w:pStyle w:val="Style48"/>
        <w:numPr>
          <w:ilvl w:val="0"/>
          <w:numId w:val="37"/>
        </w:numPr>
        <w:framePr w:w="9355" w:h="2130" w:hRule="exact" w:wrap="around" w:vAnchor="page" w:hAnchor="page" w:x="1288" w:y="138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Тариф на электрическую энергию для населения, проживающего в сельских населенных пунктах, утвержденный Приказом Министерства энергетики, тарифов и жилищного надзора Кабардино -Балкарской республики от 29.12.2018 года №95;</w:t>
      </w:r>
    </w:p>
    <w:p>
      <w:pPr>
        <w:pStyle w:val="Style48"/>
        <w:numPr>
          <w:ilvl w:val="0"/>
          <w:numId w:val="37"/>
        </w:numPr>
        <w:framePr w:w="9355" w:h="2130" w:hRule="exact" w:wrap="around" w:vAnchor="page" w:hAnchor="page" w:x="1288" w:y="138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Тариф на природный газ, реализуемый населению Кабардино-Балкарской Республики, утвержденный Приказом Министерства энергетики, тарифов и жилищного надзора Кабардино-Балкарской Республики от 29.12.2018 года №103;</w:t>
      </w:r>
    </w:p>
    <w:p>
      <w:pPr>
        <w:pStyle w:val="Style48"/>
        <w:numPr>
          <w:ilvl w:val="0"/>
          <w:numId w:val="37"/>
        </w:numPr>
        <w:framePr w:w="9355" w:h="2130" w:hRule="exact" w:wrap="around" w:vAnchor="page" w:hAnchor="page" w:x="1288" w:y="138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Тариф на питьевую воду на 2019-2023 годы для всех категорий потребителей, установлен Приказом Министерства энергетики, тарифов и жилищного надзора Кабардино-Балкарской Республики от 19.12.2018 года №79/3;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875"/>
        <w:gridCol w:w="2126"/>
        <w:gridCol w:w="2131"/>
        <w:gridCol w:w="242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Плата за услугу 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обращению с отходами</w:t>
            </w:r>
            <w:r>
              <w:rPr>
                <w:rStyle w:val="CharStyle40"/>
                <w:vertAlign w:val="superscript"/>
              </w:rPr>
              <w:t>11</w:t>
            </w:r>
            <w:r>
              <w:rPr>
                <w:rStyle w:val="CharStyle40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301,10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301,10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301,10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9562" w:h="850" w:wrap="around" w:vAnchor="page" w:hAnchor="page" w:x="1187" w:y="8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руб./м</w:t>
            </w:r>
            <w:r>
              <w:rPr>
                <w:rStyle w:val="CharStyle40"/>
                <w:vertAlign w:val="superscript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9562" w:h="850" w:wrap="around" w:vAnchor="page" w:hAnchor="page" w:x="1187" w:y="86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2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прогнозируемых тарифов был использован прогноз роста тарифов на товары (услуги) компаний инфраструктурного сектора и тарифов на услуги организаций ЖКХ по консервативному сценарию развития согласно Прогнозу долгосрочного социально-экономического развития Российской Федерации на период до 2030 года, в том числе:</w:t>
      </w:r>
    </w:p>
    <w:p>
      <w:pPr>
        <w:pStyle w:val="Style12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 электрической энергии: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2019-2020 гг. -</w:t>
        <w:tab/>
        <w:t>12,0 %;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2021-2024 гг. -</w:t>
        <w:tab/>
        <w:t>10,7%;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2025 г. - 9,0%;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2026-2029 гг. -</w:t>
        <w:tab/>
        <w:t>6,7%;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2030-2035 гг. -</w:t>
        <w:tab/>
        <w:t>5,0%.</w:t>
      </w:r>
    </w:p>
    <w:p>
      <w:pPr>
        <w:pStyle w:val="Style12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1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 газоснабжению: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2019-2020 гг. -</w:t>
        <w:tab/>
        <w:t>15,0%;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2021-2024 гг. -</w:t>
        <w:tab/>
        <w:t>12,4%;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2025 г. - 4,0%;</w:t>
      </w:r>
    </w:p>
    <w:p>
      <w:pPr>
        <w:pStyle w:val="Style12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2026-2029 гг. - 2,7%;</w:t>
      </w:r>
    </w:p>
    <w:p>
      <w:pPr>
        <w:pStyle w:val="TOC 1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2030-2035 гг. -</w:t>
        <w:tab/>
        <w:t>1,6%.</w:t>
      </w:r>
    </w:p>
    <w:p>
      <w:pPr>
        <w:pStyle w:val="TOC 1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1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прочих коммунальных ресурсов:</w:t>
      </w:r>
    </w:p>
    <w:p>
      <w:pPr>
        <w:pStyle w:val="TOC 1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2019-2020 гг. -</w:t>
        <w:tab/>
        <w:t>8,3%;</w:t>
      </w:r>
    </w:p>
    <w:p>
      <w:pPr>
        <w:pStyle w:val="TOC 1"/>
        <w:framePr w:w="9571" w:h="10387" w:hRule="exact" w:wrap="around" w:vAnchor="page" w:hAnchor="page" w:x="1182" w:y="2081"/>
        <w:tabs>
          <w:tab w:leader="none" w:pos="1484" w:val="left"/>
          <w:tab w:leader="none" w:pos="1823" w:val="left"/>
          <w:tab w:leader="none" w:pos="3686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</w:t>
        <w:tab/>
        <w:t>2021-2025 гг. -</w:t>
        <w:tab/>
        <w:t>6,5%;</w:t>
      </w:r>
    </w:p>
    <w:p>
      <w:pPr>
        <w:pStyle w:val="Style12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 в 2026-2035 гг. - 3,6 %.</w:t>
      </w:r>
    </w:p>
    <w:p>
      <w:pPr>
        <w:pStyle w:val="Style12"/>
        <w:framePr w:w="9571" w:h="10387" w:hRule="exact" w:wrap="around" w:vAnchor="page" w:hAnchor="page" w:x="1182" w:y="208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120" w:right="1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определения прогнозируемой совокупной платы населения сельского поселения по всем видам коммунальных услуг представлены в таблице.</w:t>
      </w:r>
    </w:p>
    <w:p>
      <w:pPr>
        <w:pStyle w:val="Style21"/>
        <w:framePr w:w="9408" w:h="951" w:hRule="exact" w:wrap="around" w:vAnchor="page" w:hAnchor="page" w:x="1264" w:y="14365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120" w:right="12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10</w:t>
      </w:r>
      <w:r>
        <w:rPr>
          <w:lang w:val="ru-RU" w:eastAsia="ru-RU" w:bidi="ru-RU"/>
          <w:w w:val="100"/>
          <w:color w:val="000000"/>
          <w:position w:val="0"/>
        </w:rPr>
        <w:t xml:space="preserve"> Информация о действующих тарифах в сфере водоотведения на территории сельского поселения отсутствует. Размер тарифа на водоотведение установлен по результатам анализа действующих тарифов в сфере водоотведения по аналогичным сельским поселениям Терского муниципального района Кабардино</w:t>
        <w:softHyphen/>
        <w:t>Балкарской Республики;</w:t>
      </w:r>
    </w:p>
    <w:p>
      <w:pPr>
        <w:pStyle w:val="Style21"/>
        <w:framePr w:w="9408" w:h="715" w:hRule="exact" w:wrap="around" w:vAnchor="page" w:hAnchor="page" w:x="1264" w:y="1532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120" w:right="14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11</w:t>
      </w:r>
      <w:r>
        <w:rPr>
          <w:lang w:val="ru-RU" w:eastAsia="ru-RU" w:bidi="ru-RU"/>
          <w:w w:val="100"/>
          <w:color w:val="000000"/>
          <w:position w:val="0"/>
        </w:rPr>
        <w:t xml:space="preserve"> Тариф на услугу регионального оператора по обращению с твердыми коммунальными отходами общества с ограниченной ответственностью «ЭКОЛОГИСТИКА» на 2019», утвержденный Приказом Министерства энергетики, тарифов и жилищного надзора Кабардино-Балкарской Республики от 20.12.2018 года №94.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"/>
        <w:framePr w:w="9370" w:h="617" w:hRule="exact" w:wrap="around" w:vAnchor="page" w:hAnchor="page" w:x="1297" w:y="848"/>
        <w:tabs>
          <w:tab w:leader="underscore" w:pos="3101" w:val="left"/>
          <w:tab w:leader="underscore" w:pos="4142" w:val="left"/>
          <w:tab w:leader="underscore" w:pos="5189" w:val="left"/>
          <w:tab w:leader="underscore" w:pos="6235" w:val="left"/>
          <w:tab w:leader="underscore" w:pos="7277" w:val="left"/>
          <w:tab w:leader="underscore" w:pos="8323" w:val="left"/>
          <w:tab w:leader="underscore" w:pos="9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33. Прогнозируемая совокупная плата населения за коммунальные услуги, </w:t>
      </w:r>
      <w:r>
        <w:rPr>
          <w:rStyle w:val="CharStyle34"/>
          <w:b/>
          <w:bCs/>
        </w:rPr>
        <w:t>тыс. руб.</w:t>
      </w:r>
      <w:r>
        <w:rPr>
          <w:lang w:val="ru-RU" w:eastAsia="ru-RU" w:bidi="ru-RU"/>
          <w:w w:val="100"/>
          <w:color w:val="000000"/>
          <w:position w:val="0"/>
        </w:rPr>
        <w:tab/>
        <w:tab/>
        <w:tab/>
        <w:tab/>
        <w:tab/>
        <w:tab/>
        <w:tab/>
      </w:r>
    </w:p>
    <w:tbl>
      <w:tblPr>
        <w:tblOverlap w:val="never"/>
        <w:tblLayout w:type="fixed"/>
        <w:jc w:val="left"/>
      </w:tblPr>
      <w:tblGrid>
        <w:gridCol w:w="3149"/>
        <w:gridCol w:w="1042"/>
        <w:gridCol w:w="1046"/>
        <w:gridCol w:w="1046"/>
        <w:gridCol w:w="1042"/>
        <w:gridCol w:w="1046"/>
        <w:gridCol w:w="10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электрическую энергию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2 497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2 813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3 132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3 487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3 883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4 323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газоснабжение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8 533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9 869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11 157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12 614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14 260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16 121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2 422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2 736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2 828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2 944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3 098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3 318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-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вывоз ТКО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1 900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2 070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2 217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2 375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2 544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2 725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Суммарная прогнозируемая плата за коммунальные услуги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15 352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17 488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19 334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21 420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23 785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26 488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электрическую энергию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4 739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5 086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5 458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5 858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6 287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6 639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газоснабжение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16 863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17 419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17 993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18 586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19 199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19 619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3 555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3 704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3 860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4 022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4 191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4 367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1 968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2 051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2 137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2 227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2 321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2 418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вывоз ТКО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2 919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3 042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3 170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3 303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3 441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3 586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Суммарная прогнозируемая плата за коммунальные услуги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30 045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31 302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32 618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33 996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35 438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36 629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электрическую энергию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7 012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7 405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7 820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8 259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8 722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газоснабжение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20 049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20 487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20 936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21 394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21 863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4 550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4 741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5 148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5 364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2 520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2 626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2 736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2 851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2 971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Прогнозируемая плата за вывоз ТКО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3 737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3 894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4 057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4 228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4 405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Суммарная прогнозируемая плата за коммунальные услуги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37 867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39 153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40 490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41 880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1299" w:wrap="around" w:vAnchor="page" w:hAnchor="page" w:x="1254" w:y="141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43 325</w:t>
            </w:r>
          </w:p>
        </w:tc>
      </w:tr>
    </w:tbl>
    <w:p>
      <w:pPr>
        <w:pStyle w:val="Style12"/>
        <w:framePr w:w="9437" w:h="2716" w:hRule="exact" w:wrap="around" w:vAnchor="page" w:hAnchor="page" w:x="1249" w:y="13069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определении критерия доли расходов на жилищно-коммунальные услуги, а в их составе на коммунальные услуги, учитываются среднедушевые доходы населения в сельском поселении.</w:t>
      </w:r>
    </w:p>
    <w:p>
      <w:pPr>
        <w:pStyle w:val="Style12"/>
        <w:framePr w:w="9437" w:h="2716" w:hRule="exact" w:wrap="around" w:vAnchor="page" w:hAnchor="page" w:x="1249" w:y="1306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базового уровня среднедушевого дохода в Терском муниципальном районе был использован расчет с учетом коррекции регионального среднедушевого дохода по уровню заработной платы в Терском муниципальном районе.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34" w:line="240" w:lineRule="exact"/>
        <w:ind w:left="4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расчета были использованы:</w:t>
      </w: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40" w:right="4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данные Территориального органа Федеральной службы государственной статистики по Северо-Кавказскому Федеральному округу (динамика реальных располагаемых денежных доходов в январе - ноябре 2018 года; динамика среднемесячной номинальной и реальной начисленной заработной платы в январе - ноябре 2018 года);</w:t>
      </w: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40" w:right="4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Инвестиционный паспорт Терского муниципального района Кабардино-Балкарской Республики по состоянию на 01.01.2018 год (Раздел 5 «Характеристика экономического и социального развития).</w:t>
      </w: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Уровень среднедушевых доходов населения в 2018 году в Терском мун</w:t>
      </w:r>
      <w:r>
        <w:rPr>
          <w:rStyle w:val="CharStyle28"/>
        </w:rPr>
        <w:t>ици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пальном районе составил 16678,915 руб.</w:t>
      </w: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прогнозируемого уровня среднедушевого дохода в сельском поселении Тамбовское был использован прогноз роста реальных располагаемых доходов населения по консервативному сценарию развития согласно Прогнозу долгосрочного социально-экономического развития Российской Федерации на период до 2030 года, в том числе:</w:t>
      </w:r>
    </w:p>
    <w:p>
      <w:pPr>
        <w:pStyle w:val="Style12"/>
        <w:framePr w:w="9437" w:h="9309" w:hRule="exact" w:wrap="around" w:vAnchor="page" w:hAnchor="page" w:x="1249" w:y="90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40" w:right="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 2019-2020 гг. - 4,2%;</w:t>
      </w:r>
    </w:p>
    <w:p>
      <w:pPr>
        <w:pStyle w:val="Style12"/>
        <w:framePr w:w="9437" w:h="9309" w:hRule="exact" w:wrap="around" w:vAnchor="page" w:hAnchor="page" w:x="1249" w:y="90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40" w:right="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 2021-2025 гг. - 3,6%;</w:t>
      </w:r>
    </w:p>
    <w:p>
      <w:pPr>
        <w:pStyle w:val="Style12"/>
        <w:framePr w:w="9437" w:h="9309" w:hRule="exact" w:wrap="around" w:vAnchor="page" w:hAnchor="page" w:x="1249" w:y="903"/>
        <w:tabs>
          <w:tab w:leader="none" w:pos="1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40" w:right="0" w:firstLine="8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^</w:t>
        <w:tab/>
        <w:t>в 2026-2035 гг. - 2,9 %.</w:t>
      </w:r>
    </w:p>
    <w:p>
      <w:pPr>
        <w:pStyle w:val="Style12"/>
        <w:framePr w:w="9437" w:h="9309" w:hRule="exact" w:wrap="around" w:vAnchor="page" w:hAnchor="page" w:x="1249" w:y="9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определения прогнозируемого уровня среднедушевого дохода в сельском поселении, а также прогнозная доля расходов на коммунальные услуги в совокупном доходе средней семьи сведены в таблице.</w:t>
      </w:r>
    </w:p>
    <w:p>
      <w:pPr>
        <w:pStyle w:val="Style32"/>
        <w:framePr w:w="9331" w:h="610" w:hRule="exact" w:wrap="around" w:vAnchor="page" w:hAnchor="page" w:x="1302" w:y="10255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34. Доля расходов на коммунальные услуги в совокупном доходе средней семьи</w:t>
      </w:r>
    </w:p>
    <w:tbl>
      <w:tblPr>
        <w:tblOverlap w:val="never"/>
        <w:tblLayout w:type="fixed"/>
        <w:jc w:val="left"/>
      </w:tblPr>
      <w:tblGrid>
        <w:gridCol w:w="3149"/>
        <w:gridCol w:w="1042"/>
        <w:gridCol w:w="1046"/>
        <w:gridCol w:w="1046"/>
        <w:gridCol w:w="1042"/>
        <w:gridCol w:w="1046"/>
        <w:gridCol w:w="1056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Суммарная прогнозируемая плата за коммунальные услуги, тыс.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15 352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17 488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19 334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21 420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23 785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26 488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1917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Среднедушевой доход,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17 379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18 109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18 761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19 437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20 136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20 861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расходов на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5,2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5,5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Суммарная прогнозируемая плата за коммунальные услуги, тыс.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30 045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31 302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32 618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33 996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35 438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36 629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1985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Среднедушевой доход,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21 612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22 239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22 884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23 548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24 231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24 933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39"/>
              </w:rPr>
              <w:t>Доля расходов на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4910" w:wrap="around" w:vAnchor="page" w:hAnchor="page" w:x="1254" w:y="108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6,2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190"/>
        <w:gridCol w:w="1046"/>
        <w:gridCol w:w="1046"/>
        <w:gridCol w:w="1042"/>
        <w:gridCol w:w="1046"/>
        <w:gridCol w:w="1056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Суммарная прогнозируемая плата за коммунальные услуги, тыс.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37 867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39 153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40 490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41 880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43 325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2043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Среднедушевой доход,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25 656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26 400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27 166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27 954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28 764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9"/>
              </w:rPr>
              <w:t>Доля расходов на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2189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6,1</w:t>
            </w:r>
          </w:p>
        </w:tc>
      </w:tr>
    </w:tbl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расходов на коммунальные услуги в совокупном доходе средней семьи на весь период действия настоящей Программы соответствует высокому уровню доступности для граждан платы за коммунальные услуги.</w:t>
      </w:r>
    </w:p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Оценка доступности для граждан прогнозируемой платы за коммунальные услуги по критерию «уровень собираемости платежей» проводится путем сопоставления уровня собираемости платы за коммунальные услуги с долей расходов населения за коммунальные услуги в совокупном доходе семьи.</w:t>
      </w:r>
    </w:p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базового уровня собираемости платежей в сельском поселении Тамбовское были использованы данные предоставленные Администрацией Терского муниципального района Кабардино-Балкарской Республики.</w:t>
      </w:r>
    </w:p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Уровень собираемости платежей за 2017-2018 гг. в Терском мун</w:t>
      </w:r>
      <w:r>
        <w:rPr>
          <w:rStyle w:val="CharStyle28"/>
        </w:rPr>
        <w:t>ици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пальном районе составил 81,9%.</w:t>
      </w:r>
    </w:p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определении прогнозируемого уровня собираемости платы за коммунальные услуги в сельском поселении была учтена прогнозная доля расходов на коммунальные услуги в совокупном доходе средней семьи по муниципальному образованию, а также сделано допущение, что ресурсоснабжающие организации будут проводить планомерную работу по повышению уровня собираемости платы за коммунальные услуги.</w:t>
      </w:r>
    </w:p>
    <w:p>
      <w:pPr>
        <w:pStyle w:val="Style12"/>
        <w:framePr w:w="9437" w:h="8504" w:hRule="exact" w:wrap="around" w:vAnchor="page" w:hAnchor="page" w:x="1249" w:y="3433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определения прогнозируемого уровня собираемости платы за коммунальные услуги в сельском поселении представлены в таблице.</w:t>
      </w:r>
    </w:p>
    <w:p>
      <w:pPr>
        <w:pStyle w:val="Style32"/>
        <w:framePr w:wrap="around" w:vAnchor="page" w:hAnchor="page" w:x="1302" w:y="1221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35. Уровень собираемости платы за коммунальные услуги</w:t>
      </w:r>
    </w:p>
    <w:tbl>
      <w:tblPr>
        <w:tblOverlap w:val="never"/>
        <w:tblLayout w:type="fixed"/>
        <w:jc w:val="left"/>
      </w:tblPr>
      <w:tblGrid>
        <w:gridCol w:w="3149"/>
        <w:gridCol w:w="1042"/>
        <w:gridCol w:w="1046"/>
        <w:gridCol w:w="1046"/>
        <w:gridCol w:w="1042"/>
        <w:gridCol w:w="1046"/>
        <w:gridCol w:w="1056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 xml:space="preserve">Доля расходов на коммунальные услуги, </w:t>
            </w:r>
            <w:r>
              <w:rPr>
                <w:rStyle w:val="CharStyle44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5,5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Уровень собираемости платы за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87,3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87,2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87,0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Доля расходов на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6,2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Уровень собираемости платы за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3518" w:wrap="around" w:vAnchor="page" w:hAnchor="page" w:x="1254" w:y="12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190"/>
        <w:gridCol w:w="1046"/>
        <w:gridCol w:w="1046"/>
        <w:gridCol w:w="1042"/>
        <w:gridCol w:w="1046"/>
        <w:gridCol w:w="1056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Доля расходов на коммунальные услуги,%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6,1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39"/>
              </w:rPr>
              <w:t>Уровень собираемости платы за коммунальные услуги,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1488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86,4</w:t>
            </w:r>
          </w:p>
        </w:tc>
      </w:tr>
    </w:tbl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Уровень собираемости платежей за коммунальные услуги на весь период действия настоящей Программы соответствует доступному уровню для граждан платы за коммунальные услуги.</w:t>
      </w:r>
    </w:p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Оценка доступности для граждан прогнозируемой платы за коммунальные услуги по критерию «доля населения с доходами ниже прожиточного минимума» проводится путем выделения прогнозируемой доли населения с доходами ниже прожиточного минимума в общей прогнозируемой численности населения.</w:t>
      </w:r>
    </w:p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Прожиточный минимум в Кабардино-Балкарской Республике в расчете на душу населения за III квартал 2018 года установлен в размере 10 557,0 рублей, в соответствии с постановлением Правительства КБР от 13.11.2018 года №211 -ПП.</w:t>
      </w:r>
    </w:p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прогнозируемого уровня прожиточного минимума в Кабардино-Балкарской Республике в расчете на душу населения был использован прогноз индекса потребительских цен по консервативному сценарию развития согласно Прогнозу долгосрочного социально</w:t>
        <w:softHyphen/>
        <w:t>экономического развития Российской Федерации на период до 2030 года, в том числе:</w:t>
      </w:r>
    </w:p>
    <w:p>
      <w:pPr>
        <w:pStyle w:val="Style12"/>
        <w:framePr w:w="9437" w:h="11371" w:hRule="exact" w:wrap="around" w:vAnchor="page" w:hAnchor="page" w:x="1249" w:y="2729"/>
        <w:tabs>
          <w:tab w:leader="none" w:pos="1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  <w:tab/>
        <w:t>в 2019-2020 гг. - 5,0%;</w:t>
      </w:r>
    </w:p>
    <w:p>
      <w:pPr>
        <w:pStyle w:val="Style12"/>
        <w:framePr w:w="9437" w:h="11371" w:hRule="exact" w:wrap="around" w:vAnchor="page" w:hAnchor="page" w:x="1249" w:y="2729"/>
        <w:tabs>
          <w:tab w:leader="none" w:pos="1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  <w:tab/>
        <w:t>в 2021-2025 гг. - 3,9%;</w:t>
      </w:r>
    </w:p>
    <w:p>
      <w:pPr>
        <w:pStyle w:val="Style12"/>
        <w:framePr w:w="9437" w:h="11371" w:hRule="exact" w:wrap="around" w:vAnchor="page" w:hAnchor="page" w:x="1249" w:y="2729"/>
        <w:tabs>
          <w:tab w:leader="none" w:pos="1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9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</w:t>
        <w:tab/>
        <w:t>в 2026-2035 гг. - 2,7%.</w:t>
      </w:r>
    </w:p>
    <w:p>
      <w:pPr>
        <w:pStyle w:val="Style12"/>
        <w:framePr w:w="9437" w:h="11371" w:hRule="exact" w:wrap="around" w:vAnchor="page" w:hAnchor="page" w:x="1249" w:y="2729"/>
        <w:tabs>
          <w:tab w:leader="none" w:pos="1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</w:t>
        <w:tab/>
        <w:t>определения доли населения с доходами ниже прожиточного</w:t>
      </w:r>
    </w:p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минимума, население муниципального образования было распределено на восемь групп по уровню среднедушевого дохода. При этом были учтены тенденции распределения населения по величине среднедушевых денежных доходов в Кабардино-Балкарской Республике и прогнозируемый уровень среднедушевого дохода в муниципальном образовании.</w:t>
      </w:r>
    </w:p>
    <w:p>
      <w:pPr>
        <w:pStyle w:val="Style12"/>
        <w:framePr w:w="9437" w:h="11371" w:hRule="exact" w:wrap="around" w:vAnchor="page" w:hAnchor="page" w:x="1249" w:y="272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определения доли населения с доходами ниже прожиточного минимума в сельском поселении представлены в таблице.</w:t>
      </w:r>
    </w:p>
    <w:p>
      <w:pPr>
        <w:pStyle w:val="Style32"/>
        <w:framePr w:wrap="around" w:vAnchor="page" w:hAnchor="page" w:x="1302" w:y="1420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Таблица 36. Доля населения с доходами ниже прожиточного минимума</w:t>
      </w:r>
    </w:p>
    <w:tbl>
      <w:tblPr>
        <w:tblOverlap w:val="never"/>
        <w:tblLayout w:type="fixed"/>
        <w:jc w:val="left"/>
      </w:tblPr>
      <w:tblGrid>
        <w:gridCol w:w="3437"/>
        <w:gridCol w:w="998"/>
        <w:gridCol w:w="994"/>
        <w:gridCol w:w="998"/>
        <w:gridCol w:w="994"/>
        <w:gridCol w:w="998"/>
        <w:gridCol w:w="1008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1917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Прожиточный минимум,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11 085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11 639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12 093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12 565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13 055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13 564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 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689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9427" w:h="1421" w:wrap="around" w:vAnchor="page" w:hAnchor="page" w:x="1254" w:y="144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707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437"/>
        <w:gridCol w:w="998"/>
        <w:gridCol w:w="994"/>
        <w:gridCol w:w="998"/>
        <w:gridCol w:w="994"/>
        <w:gridCol w:w="998"/>
        <w:gridCol w:w="1008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доходами ниже прожиточного минимума,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27" w:h="6317" w:wrap="around" w:vAnchor="page" w:hAnchor="page" w:x="1254" w:y="8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населения с доходами ниже прожиточного минимума,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37,0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39,2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37,3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35,6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38,2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36,8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1985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Прожиточный минимум,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14 093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14 473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14 864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15 265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15 678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16 101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Численность населения с доходами ниже прожиточного минимума,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686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707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678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39"/>
              </w:rPr>
              <w:t>Доля населения с доходами ниже прожиточного минимума,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35,6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38,1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37,1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36,0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35,1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34,2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2043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Прожиточный минимум,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16 536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16 982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17 441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17 911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18 395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40"/>
              </w:rPr>
              <w:t>Численность населения с доходами ниже прожиточного минимума,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653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620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39"/>
              </w:rPr>
              <w:t>Доля населения с доходами ниже прожиточного минимума,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33,3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31,7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31,0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6317" w:wrap="around" w:vAnchor="page" w:hAnchor="page" w:x="1254" w:y="88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30,3</w:t>
            </w:r>
          </w:p>
        </w:tc>
      </w:tr>
    </w:tbl>
    <w:p>
      <w:pPr>
        <w:pStyle w:val="Style12"/>
        <w:framePr w:w="9437" w:h="8324" w:hRule="exact" w:wrap="around" w:vAnchor="page" w:hAnchor="page" w:x="1249" w:y="75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населения с доходами ниже прожиточного минимума на весь срок действия настоящей Программы соответствует недоступности для граждан платы за коммунальные услуги.</w:t>
      </w:r>
    </w:p>
    <w:p>
      <w:pPr>
        <w:pStyle w:val="Style12"/>
        <w:framePr w:w="9437" w:h="8324" w:hRule="exact" w:wrap="around" w:vAnchor="page" w:hAnchor="page" w:x="1249" w:y="75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Оценка доступности для граждан прогнозируемой платы за коммунальные услуги по критерию «доля получателей субсидий на оплату коммунальных услуг в общей численности населения» проводится путем выделения прогнозируемой доли получателей субсидий на оплату коммунальных услуг в общей прогнозируемой численности населения.</w:t>
      </w:r>
    </w:p>
    <w:p>
      <w:pPr>
        <w:pStyle w:val="Style12"/>
        <w:framePr w:w="9437" w:h="8324" w:hRule="exact" w:wrap="around" w:vAnchor="page" w:hAnchor="page" w:x="1249" w:y="7557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6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Субсидии на оплату жилого помещения и коммунальных услуг предоставляются гражданам в случае, если их расходы на оплату жилого помещения и коммунальных услуг,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 Размеры региональных стандартов нормативной площади жилого помещения, используемой для расчета субсидий, стоимости жилищно</w:t>
        <w:softHyphen/>
        <w:t>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Федерации. Для семей со среднедушевым доходом ниже установленного прожиточного минимума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437" w:h="8814" w:hRule="exact" w:wrap="around" w:vAnchor="page" w:hAnchor="page" w:x="1249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6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>
      <w:pPr>
        <w:pStyle w:val="Style12"/>
        <w:framePr w:w="9437" w:h="8814" w:hRule="exact" w:wrap="around" w:vAnchor="page" w:hAnchor="page" w:x="1249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Для определения доли получателей субсидий на оплату коммунальных услуг в общей численности населения, население сельского поселения было распределено на восемь групп по уровню среднедушевого дохода. При этом были учтены тенденции распределения населения по величине среднедушевых денежных доходов в Кабардино-Балкарской Республике и прогнозируемый уровень среднедушевого дохода в муниципальном образовании.</w:t>
      </w:r>
    </w:p>
    <w:p>
      <w:pPr>
        <w:pStyle w:val="Style12"/>
        <w:framePr w:w="9437" w:h="8814" w:hRule="exact" w:wrap="around" w:vAnchor="page" w:hAnchor="page" w:x="1249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Региональный стандарт максимально допустимой доли расходов граждан на оплату жилого помещения и коммунальных услуг в совокупном доходе семьи в Кабардино-Балкарской Республике на 2018 год был принят в размере 15%.</w:t>
      </w:r>
    </w:p>
    <w:p>
      <w:pPr>
        <w:pStyle w:val="Style12"/>
        <w:framePr w:w="9437" w:h="8814" w:hRule="exact" w:wrap="around" w:vAnchor="page" w:hAnchor="page" w:x="1249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Размер регионального стандарта стоимости жилищно-коммунальных услуг на одного члена семьи был принят в соответствии с Постановлением Правительства Кабардино-Балкарской Республики «О стандартах, применяемых при определении прав граждан на получение субсидий на оплату жилого помещения и коммунальных услуг в Кабардино-Балкарской Республике, на 2018 год» от 13.09.2018 года №«175-1111.</w:t>
      </w:r>
    </w:p>
    <w:p>
      <w:pPr>
        <w:pStyle w:val="Style12"/>
        <w:framePr w:w="9437" w:h="8814" w:hRule="exact" w:wrap="around" w:vAnchor="page" w:hAnchor="page" w:x="1249" w:y="80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40" w:right="4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определения доли получателей субсидий на оплату коммунальных услуг в общей численности населения в сельском поселении представлены в таблице.</w:t>
      </w:r>
    </w:p>
    <w:p>
      <w:pPr>
        <w:pStyle w:val="Style32"/>
        <w:framePr w:w="9326" w:h="615" w:hRule="exact" w:wrap="around" w:vAnchor="page" w:hAnchor="page" w:x="1302" w:y="965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Таблица 37. Доля получателей субсидий на оплату коммунальных услуг в общей численности населения</w:t>
      </w:r>
    </w:p>
    <w:tbl>
      <w:tblPr>
        <w:tblOverlap w:val="never"/>
        <w:tblLayout w:type="fixed"/>
        <w:jc w:val="left"/>
      </w:tblPr>
      <w:tblGrid>
        <w:gridCol w:w="3149"/>
        <w:gridCol w:w="1042"/>
        <w:gridCol w:w="1046"/>
        <w:gridCol w:w="1046"/>
        <w:gridCol w:w="1042"/>
        <w:gridCol w:w="1046"/>
        <w:gridCol w:w="10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2024 г.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1917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Численность получателей субсидий,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356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425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получателей субсидий на оплату коммунальных услуг,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18,9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21,1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23,2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22,2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2025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2026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2027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2029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2030 г.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1985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Численность получателей субсидий,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446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505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463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получателей субсидий на оплату коммунальных услуг,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24,1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23,0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25,9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24,1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23,3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2034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1997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2043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0"/>
              </w:rPr>
              <w:t>Численность получателей субсидий,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40"/>
              </w:rPr>
              <w:t>479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получателей субсидий на оплату коммунальных услуг, 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22,6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21,9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21,2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427" w:h="5702" w:wrap="around" w:vAnchor="page" w:hAnchor="page" w:x="1254" w:y="102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23,4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533" w:h="2392" w:hRule="exact" w:wrap="around" w:vAnchor="page" w:hAnchor="page" w:x="1201" w:y="794"/>
        <w:widowControl w:val="0"/>
        <w:keepNext w:val="0"/>
        <w:keepLines w:val="0"/>
        <w:shd w:val="clear" w:color="auto" w:fill="auto"/>
        <w:bidi w:val="0"/>
        <w:jc w:val="both"/>
        <w:spacing w:before="0" w:after="416" w:line="365" w:lineRule="exact"/>
        <w:ind w:left="80" w:right="10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Доля получателей субсидий на оплату коммунальных услуг на весь период действия настоящей Программы соответствует недоступности для граждан платы за коммунальные услуги.</w:t>
      </w:r>
    </w:p>
    <w:p>
      <w:pPr>
        <w:pStyle w:val="Style12"/>
        <w:framePr w:w="9533" w:h="2392" w:hRule="exact" w:wrap="around" w:vAnchor="page" w:hAnchor="page" w:x="1201" w:y="794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80" w:right="100" w:firstLine="72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Результаты оценки совокупного платежа граждан за коммунальные услуги на соответствие критериям доступности представлены в таблице.</w:t>
      </w:r>
    </w:p>
    <w:p>
      <w:pPr>
        <w:pStyle w:val="Style32"/>
        <w:framePr w:w="9374" w:h="621" w:hRule="exact" w:wrap="around" w:vAnchor="page" w:hAnchor="page" w:x="1292" w:y="3411"/>
        <w:tabs>
          <w:tab w:leader="underscore" w:pos="93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38. Результаты оценки совокупного платежа граждан за коммунальные </w:t>
      </w:r>
      <w:r>
        <w:rPr>
          <w:rStyle w:val="CharStyle34"/>
          <w:b/>
          <w:bCs/>
        </w:rPr>
        <w:t>услуги на соответствие критериям доступности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2779"/>
        <w:gridCol w:w="960"/>
        <w:gridCol w:w="960"/>
        <w:gridCol w:w="965"/>
        <w:gridCol w:w="960"/>
        <w:gridCol w:w="965"/>
        <w:gridCol w:w="960"/>
        <w:gridCol w:w="974"/>
      </w:tblGrid>
      <w:tr>
        <w:trPr>
          <w:trHeight w:val="36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Критерий</w:t>
            </w:r>
          </w:p>
        </w:tc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Уровень доступности</w:t>
            </w:r>
            <w:r>
              <w:rPr>
                <w:rStyle w:val="CharStyle39"/>
                <w:vertAlign w:val="superscript"/>
              </w:rPr>
              <w:t>12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23" w:h="5549" w:wrap="around" w:vAnchor="page" w:hAnchor="page" w:x="1206" w:y="3985"/>
            </w:pPr>
          </w:p>
        </w:tc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Период по годам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23" w:h="5549" w:wrap="around" w:vAnchor="page" w:hAnchor="page" w:x="1206" w:y="398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расходов на коммунальные услуги в совокупном доходе семьи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В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населения с доходами ниже прожиточного минимума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Уровень собираемости платежей за коммунальные услуги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Д</w:t>
            </w:r>
          </w:p>
        </w:tc>
      </w:tr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Доля получателей субсидий на оплату коммунальных услуг в общей численности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523" w:h="5549" w:wrap="around" w:vAnchor="page" w:hAnchor="page" w:x="1206" w:y="39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Н</w:t>
            </w:r>
          </w:p>
        </w:tc>
      </w:tr>
    </w:tbl>
    <w:p>
      <w:pPr>
        <w:pStyle w:val="Style21"/>
        <w:framePr w:w="9494" w:h="485" w:hRule="exact" w:wrap="around" w:vAnchor="page" w:hAnchor="page" w:x="1220" w:y="1550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100" w:right="10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12</w:t>
      </w:r>
      <w:r>
        <w:rPr>
          <w:lang w:val="ru-RU" w:eastAsia="ru-RU" w:bidi="ru-RU"/>
          <w:w w:val="100"/>
          <w:color w:val="000000"/>
          <w:position w:val="0"/>
        </w:rPr>
        <w:t xml:space="preserve"> Буквой «Н» обозначен недоступный уровень, буквой «Д» - доступный и буквой «В» высокий уровень доступности.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numPr>
          <w:ilvl w:val="0"/>
          <w:numId w:val="35"/>
        </w:numPr>
        <w:framePr w:w="9360" w:h="10055" w:hRule="exact" w:wrap="around" w:vAnchor="page" w:hAnchor="page" w:x="1288" w:y="921"/>
        <w:tabs>
          <w:tab w:leader="none" w:pos="14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540" w:right="540" w:firstLine="340"/>
      </w:pPr>
      <w:bookmarkStart w:id="91" w:name="bookmark91"/>
      <w:bookmarkStart w:id="92" w:name="bookmark92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ПРОГНОЗИРУЕМЫЕ РАСХОДЫ НА ПРЕДОСТАВЛЕНИЕ ОТДЕЛЬНЫМ КАТЕГОРИЯМ ГРАЖДАН СУБСИДИЙ НА ОПЛАТУ</w:t>
      </w:r>
      <w:bookmarkEnd w:id="91"/>
      <w:bookmarkEnd w:id="92"/>
    </w:p>
    <w:p>
      <w:pPr>
        <w:pStyle w:val="Style23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spacing w:before="0" w:after="484" w:line="374" w:lineRule="exact"/>
        <w:ind w:left="0" w:right="0" w:firstLine="0"/>
      </w:pPr>
      <w:bookmarkStart w:id="93" w:name="bookmark93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КОММУНАЛЬНЫХ УСЛУГ</w:t>
      </w:r>
      <w:bookmarkEnd w:id="93"/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Субсидии предоставляются гражданам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both"/>
        <w:spacing w:before="0" w:after="0" w:line="408" w:lineRule="exact"/>
        <w:ind w:left="2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Право на субсидии имеют: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08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пользователи жилого помещения в государственном или мун</w:t>
      </w:r>
      <w:r>
        <w:rPr>
          <w:rStyle w:val="CharStyle28"/>
        </w:rPr>
        <w:t>ици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пальном жили</w:t>
      </w:r>
      <w:r>
        <w:rPr>
          <w:rStyle w:val="CharStyle28"/>
        </w:rPr>
        <w:t>щн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ом фонде;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наниматели жилого помещения по договору найма в частном жилищном фонде;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left"/>
        <w:spacing w:before="0" w:after="26" w:line="240" w:lineRule="exact"/>
        <w:ind w:left="20" w:right="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члены жилищного или жилищно-строительного кооператива;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03" w:lineRule="exact"/>
        <w:ind w:left="20" w:right="20" w:firstLine="880"/>
      </w:pPr>
      <w:r>
        <w:rPr>
          <w:rStyle w:val="CharStyle41"/>
        </w:rPr>
        <w:t>S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собственники жилого помещения (квартиры, жилого дома, части квартиры или жилого дома).</w:t>
      </w:r>
    </w:p>
    <w:p>
      <w:pPr>
        <w:pStyle w:val="Style12"/>
        <w:framePr w:w="9360" w:h="10055" w:hRule="exact" w:wrap="around" w:vAnchor="page" w:hAnchor="page" w:x="1288" w:y="92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Прогнозируемые расходы на предоставление отдельным категориям граждан субсидий на оплату коммунальных услуг представлены в таблице.</w:t>
      </w:r>
    </w:p>
    <w:p>
      <w:pPr>
        <w:pStyle w:val="Style32"/>
        <w:framePr w:w="9331" w:h="621" w:hRule="exact" w:wrap="around" w:vAnchor="page" w:hAnchor="page" w:x="1307" w:y="11451"/>
        <w:tabs>
          <w:tab w:leader="underscore" w:pos="6504" w:val="left"/>
          <w:tab w:leader="underscore" w:pos="7445" w:val="left"/>
          <w:tab w:leader="underscore" w:pos="8381" w:val="left"/>
          <w:tab w:leader="underscore" w:pos="93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Таблица 39. Прогнозируемые расходы на предоставление отдельным категориям </w:t>
      </w:r>
      <w:r>
        <w:rPr>
          <w:rStyle w:val="CharStyle34"/>
          <w:b/>
          <w:bCs/>
        </w:rPr>
        <w:t>граждан субсидий на оплату коммунальных услуг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  <w:tab/>
        <w:tab/>
        <w:tab/>
        <w:tab/>
      </w:r>
    </w:p>
    <w:tbl>
      <w:tblPr>
        <w:tblOverlap w:val="never"/>
        <w:tblLayout w:type="fixed"/>
        <w:jc w:val="left"/>
      </w:tblPr>
      <w:tblGrid>
        <w:gridCol w:w="2755"/>
        <w:gridCol w:w="936"/>
        <w:gridCol w:w="941"/>
        <w:gridCol w:w="941"/>
        <w:gridCol w:w="941"/>
        <w:gridCol w:w="941"/>
        <w:gridCol w:w="936"/>
        <w:gridCol w:w="950"/>
      </w:tblGrid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2019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2020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2021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2022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2023 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2028 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20" w:right="0" w:firstLine="0"/>
            </w:pPr>
            <w:r>
              <w:rPr>
                <w:rStyle w:val="CharStyle39"/>
              </w:rPr>
              <w:t>2035 г.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Численность населения,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1863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1874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1884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1895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1906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1962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2043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40"/>
              </w:rPr>
              <w:t>Численность получателей субсидий, чел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400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377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356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400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442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490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60" w:right="0" w:firstLine="0"/>
            </w:pPr>
            <w:r>
              <w:rPr>
                <w:rStyle w:val="CharStyle40"/>
              </w:rPr>
              <w:t>479</w:t>
            </w:r>
          </w:p>
        </w:tc>
      </w:tr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9"/>
              </w:rPr>
              <w:t>Прогнозируемые расходы на предоставление субсидий, тыс. руб.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1 647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1 623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1 835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2 174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2 571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4080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9341" w:h="2928" w:wrap="around" w:vAnchor="page" w:hAnchor="page" w:x="1302" w:y="12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39"/>
              </w:rPr>
              <w:t>4538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6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14">
    <w:multiLevelType w:val="multilevel"/>
    <w:lvl w:ilvl="0">
      <w:start w:val="2004"/>
      <w:numFmt w:val="decimal"/>
      <w:lvlText w:val="29.1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16">
    <w:multiLevelType w:val="multilevel"/>
    <w:lvl w:ilvl="0">
      <w:start w:val="2017"/>
      <w:numFmt w:val="decimal"/>
      <w:lvlText w:val="24.07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18">
    <w:multiLevelType w:val="multilevel"/>
    <w:lvl w:ilvl="0">
      <w:start w:val="2017"/>
      <w:numFmt w:val="decimal"/>
      <w:lvlText w:val="31.0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0">
    <w:multiLevelType w:val="multilevel"/>
    <w:lvl w:ilvl="0">
      <w:start w:val="2005"/>
      <w:numFmt w:val="decimal"/>
      <w:lvlText w:val="14.12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4">
    <w:multiLevelType w:val="multilevel"/>
    <w:lvl w:ilvl="0">
      <w:start w:val="2017"/>
      <w:numFmt w:val="decimal"/>
      <w:lvlText w:val="24.07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6">
    <w:multiLevelType w:val="multilevel"/>
    <w:lvl w:ilvl="0">
      <w:start w:val="1"/>
      <w:numFmt w:val="decimal"/>
      <w:lvlText w:val="3.%1.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28">
    <w:multiLevelType w:val="multilevel"/>
    <w:lvl w:ilvl="0">
      <w:start w:val="2014"/>
      <w:numFmt w:val="decimal"/>
      <w:lvlText w:val="27.06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30">
    <w:multiLevelType w:val="multilevel"/>
    <w:lvl w:ilvl="0">
      <w:start w:val="4"/>
      <w:numFmt w:val="decimal"/>
      <w:lvlText w:val="5.%1.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32">
    <w:multiLevelType w:val="multilevel"/>
    <w:lvl w:ilvl="0">
      <w:start w:val="2014"/>
      <w:numFmt w:val="decimal"/>
      <w:lvlText w:val="20.06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34">
    <w:multiLevelType w:val="multilevel"/>
    <w:lvl w:ilvl="0">
      <w:start w:val="6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"/>
        <w:color w:val="000000"/>
        <w:position w:val="0"/>
      </w:rPr>
    </w:lvl>
  </w:abstractNum>
  <w:abstractNum w:abstractNumId="36">
    <w:multiLevelType w:val="multilevel"/>
    <w:lvl w:ilvl="0">
      <w:start w:val="7"/>
      <w:numFmt w:val="decimal"/>
      <w:lvlText w:val="%1"/>
      <w:rPr>
        <w:lang w:val="ru-RU" w:eastAsia="ru-RU" w:bidi="ru-RU"/>
        <w:vertAlign w:val="superscript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Times New Roman" w:eastAsia="Times New Roman" w:hAnsi="Times New Roman" w:cs="Times New Roman"/>
        <w:w w:val="100"/>
        <w:spacing w:val="-1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38"/>
      <w:szCs w:val="38"/>
      <w:rFonts w:ascii="Century Schoolbook" w:eastAsia="Century Schoolbook" w:hAnsi="Century Schoolbook" w:cs="Century Schoolbook"/>
      <w:spacing w:val="11"/>
    </w:rPr>
  </w:style>
  <w:style w:type="character" w:customStyle="1" w:styleId="CharStyle6">
    <w:name w:val="Основной текст (2)_"/>
    <w:basedOn w:val="DefaultParagraphFont"/>
    <w:link w:val="Style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9"/>
    </w:rPr>
  </w:style>
  <w:style w:type="character" w:customStyle="1" w:styleId="CharStyle7">
    <w:name w:val="Основной текст (2) + 12 pt,Не полужирный,Интервал 0 pt"/>
    <w:basedOn w:val="CharStyle6"/>
    <w:rPr>
      <w:lang w:val="ru-RU" w:eastAsia="ru-RU" w:bidi="ru-RU"/>
      <w:b/>
      <w:bCs/>
      <w:sz w:val="24"/>
      <w:szCs w:val="24"/>
      <w:w w:val="100"/>
      <w:spacing w:val="1"/>
      <w:color w:val="000000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8"/>
    </w:rPr>
  </w:style>
  <w:style w:type="character" w:customStyle="1" w:styleId="CharStyle13">
    <w:name w:val="Основной текст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15">
    <w:name w:val="Заголовок №2_"/>
    <w:basedOn w:val="DefaultParagraphFont"/>
    <w:link w:val="Style1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9"/>
    </w:rPr>
  </w:style>
  <w:style w:type="character" w:customStyle="1" w:styleId="CharStyle17">
    <w:name w:val="Оглавление_"/>
    <w:basedOn w:val="DefaultParagraphFont"/>
    <w:link w:val="TOC 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19">
    <w:name w:val="Подпись к таблице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20">
    <w:name w:val="Основной текст"/>
    <w:basedOn w:val="CharStyle13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22">
    <w:name w:val="Сноска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1"/>
    </w:rPr>
  </w:style>
  <w:style w:type="character" w:customStyle="1" w:styleId="CharStyle24">
    <w:name w:val="Заголовок №3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25">
    <w:name w:val="Основной текст + Полужирный,Курсив,Интервал 0 pt"/>
    <w:basedOn w:val="CharStyle13"/>
    <w:rPr>
      <w:lang w:val="en-US" w:eastAsia="en-US" w:bidi="en-US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8">
    <w:name w:val="Основной текст"/>
    <w:basedOn w:val="CharStyle13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30">
    <w:name w:val="Заголовок №4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31">
    <w:name w:val="Заголовок №4"/>
    <w:basedOn w:val="CharStyle30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33">
    <w:name w:val="Подпись к таблице_"/>
    <w:basedOn w:val="DefaultParagraphFont"/>
    <w:link w:val="Style32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3"/>
    </w:rPr>
  </w:style>
  <w:style w:type="character" w:customStyle="1" w:styleId="CharStyle34">
    <w:name w:val="Подпись к таблице"/>
    <w:basedOn w:val="CharStyle3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35">
    <w:name w:val="Основной текст + 10 pt,Полужирный,Интервал 0 pt"/>
    <w:basedOn w:val="CharStyle13"/>
    <w:rPr>
      <w:lang w:val="ru-RU" w:eastAsia="ru-RU" w:bidi="ru-RU"/>
      <w:b/>
      <w:bCs/>
      <w:sz w:val="20"/>
      <w:szCs w:val="20"/>
      <w:w w:val="100"/>
      <w:spacing w:val="3"/>
      <w:color w:val="000000"/>
      <w:position w:val="0"/>
    </w:rPr>
  </w:style>
  <w:style w:type="character" w:customStyle="1" w:styleId="CharStyle36">
    <w:name w:val="Основной текст + 10,5 pt,Интервал 0 pt"/>
    <w:basedOn w:val="CharStyle13"/>
    <w:rPr>
      <w:lang w:val="ru-RU" w:eastAsia="ru-RU" w:bidi="ru-RU"/>
      <w:sz w:val="21"/>
      <w:szCs w:val="21"/>
      <w:w w:val="100"/>
      <w:spacing w:val="3"/>
      <w:color w:val="000000"/>
      <w:position w:val="0"/>
    </w:rPr>
  </w:style>
  <w:style w:type="character" w:customStyle="1" w:styleId="CharStyle37">
    <w:name w:val="Основной текст + Century Schoolbook,4 pt,Интервал 0 pt"/>
    <w:basedOn w:val="CharStyle13"/>
    <w:rPr>
      <w:lang w:val="ru-RU" w:eastAsia="ru-RU" w:bidi="ru-RU"/>
      <w:sz w:val="8"/>
      <w:szCs w:val="8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38">
    <w:name w:val="Основной текст + 4 pt,Интервал 0 pt"/>
    <w:basedOn w:val="CharStyle13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39">
    <w:name w:val="Основной текст + 10 pt,Полужирный,Интервал 0 pt"/>
    <w:basedOn w:val="CharStyle13"/>
    <w:rPr>
      <w:lang w:val="ru-RU" w:eastAsia="ru-RU" w:bidi="ru-RU"/>
      <w:b/>
      <w:bCs/>
      <w:sz w:val="20"/>
      <w:szCs w:val="20"/>
      <w:w w:val="100"/>
      <w:spacing w:val="3"/>
      <w:color w:val="000000"/>
      <w:position w:val="0"/>
    </w:rPr>
  </w:style>
  <w:style w:type="character" w:customStyle="1" w:styleId="CharStyle40">
    <w:name w:val="Основной текст + 10,5 pt,Интервал 0 pt"/>
    <w:basedOn w:val="CharStyle13"/>
    <w:rPr>
      <w:lang w:val="ru-RU" w:eastAsia="ru-RU" w:bidi="ru-RU"/>
      <w:sz w:val="21"/>
      <w:szCs w:val="21"/>
      <w:w w:val="100"/>
      <w:spacing w:val="3"/>
      <w:color w:val="000000"/>
      <w:position w:val="0"/>
    </w:rPr>
  </w:style>
  <w:style w:type="character" w:customStyle="1" w:styleId="CharStyle41">
    <w:name w:val="Основной текст + Полужирный,Курсив,Интервал 0 pt"/>
    <w:basedOn w:val="CharStyle13"/>
    <w:rPr>
      <w:lang w:val="en-US" w:eastAsia="en-US" w:bidi="en-US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42">
    <w:name w:val="Основной текст + 9 pt,Полужирный,Интервал 0 pt"/>
    <w:basedOn w:val="CharStyle13"/>
    <w:rPr>
      <w:lang w:val="ru-RU" w:eastAsia="ru-RU" w:bidi="ru-RU"/>
      <w:b/>
      <w:bCs/>
      <w:sz w:val="18"/>
      <w:szCs w:val="18"/>
      <w:w w:val="100"/>
      <w:spacing w:val="-11"/>
      <w:color w:val="000000"/>
      <w:position w:val="0"/>
    </w:rPr>
  </w:style>
  <w:style w:type="character" w:customStyle="1" w:styleId="CharStyle43">
    <w:name w:val="Основной текст + Tahoma,14 pt,Курсив,Интервал 0 pt"/>
    <w:basedOn w:val="CharStyle13"/>
    <w:rPr>
      <w:lang w:val="ru-RU" w:eastAsia="ru-RU" w:bidi="ru-RU"/>
      <w:i/>
      <w:iCs/>
      <w:sz w:val="28"/>
      <w:szCs w:val="2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4">
    <w:name w:val="Основной текст + 10 pt,Полужирный,Курсив,Интервал 0 pt"/>
    <w:basedOn w:val="CharStyle13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5">
    <w:name w:val="Основной текст + Tahoma,4,5 pt,Интервал 0 pt"/>
    <w:basedOn w:val="CharStyle13"/>
    <w:rPr>
      <w:lang w:val="ru-RU" w:eastAsia="ru-RU" w:bidi="ru-RU"/>
      <w:sz w:val="9"/>
      <w:szCs w:val="9"/>
      <w:rFonts w:ascii="Tahoma" w:eastAsia="Tahoma" w:hAnsi="Tahoma" w:cs="Tahoma"/>
      <w:w w:val="100"/>
      <w:spacing w:val="-3"/>
      <w:color w:val="000000"/>
      <w:position w:val="0"/>
    </w:rPr>
  </w:style>
  <w:style w:type="character" w:customStyle="1" w:styleId="CharStyle46">
    <w:name w:val="Основной текст + Century Schoolbook,4 pt,Интервал 0 pt"/>
    <w:basedOn w:val="CharStyle13"/>
    <w:rPr>
      <w:lang w:val="ru-RU" w:eastAsia="ru-RU" w:bidi="ru-RU"/>
      <w:sz w:val="8"/>
      <w:szCs w:val="8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47">
    <w:name w:val="Основной текст + 4 pt,Интервал 0 pt"/>
    <w:basedOn w:val="CharStyle13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49">
    <w:name w:val="Подпись к таблице (3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1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outlineLvl w:val="0"/>
      <w:spacing w:after="960" w:line="643" w:lineRule="exact"/>
      <w:ind w:firstLine="2840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Century Schoolbook" w:eastAsia="Century Schoolbook" w:hAnsi="Century Schoolbook" w:cs="Century Schoolbook"/>
      <w:spacing w:val="11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before="960" w:after="720" w:line="43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9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24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after="54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8"/>
    </w:rPr>
  </w:style>
  <w:style w:type="paragraph" w:customStyle="1" w:styleId="Style12">
    <w:name w:val="Основной текст"/>
    <w:basedOn w:val="Normal"/>
    <w:link w:val="CharStyle13"/>
    <w:pPr>
      <w:widowControl w:val="0"/>
      <w:shd w:val="clear" w:color="auto" w:fill="FFFFFF"/>
      <w:spacing w:line="326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14">
    <w:name w:val="Заголовок №2"/>
    <w:basedOn w:val="Normal"/>
    <w:link w:val="CharStyle15"/>
    <w:pPr>
      <w:widowControl w:val="0"/>
      <w:shd w:val="clear" w:color="auto" w:fill="FFFFFF"/>
      <w:jc w:val="center"/>
      <w:outlineLvl w:val="1"/>
      <w:spacing w:after="48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9"/>
    </w:rPr>
  </w:style>
  <w:style w:type="paragraph" w:styleId="TOC 1">
    <w:name w:val="toc 1"/>
    <w:basedOn w:val="Normal"/>
    <w:link w:val="CharStyle17"/>
    <w:autoRedefine/>
    <w:pPr>
      <w:widowControl w:val="0"/>
      <w:shd w:val="clear" w:color="auto" w:fill="FFFFFF"/>
      <w:jc w:val="both"/>
      <w:spacing w:before="480" w:after="24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18">
    <w:name w:val="Подпись к таблице (2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21">
    <w:name w:val="Сноска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1"/>
    </w:rPr>
  </w:style>
  <w:style w:type="paragraph" w:customStyle="1" w:styleId="Style23">
    <w:name w:val="Заголовок №3"/>
    <w:basedOn w:val="Normal"/>
    <w:link w:val="CharStyle24"/>
    <w:pPr>
      <w:widowControl w:val="0"/>
      <w:shd w:val="clear" w:color="auto" w:fill="FFFFFF"/>
      <w:jc w:val="center"/>
      <w:outlineLvl w:val="2"/>
      <w:spacing w:after="480" w:line="0" w:lineRule="exact"/>
      <w:ind w:hanging="162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spacing w:after="180" w:line="0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9">
    <w:name w:val="Заголовок №4"/>
    <w:basedOn w:val="Normal"/>
    <w:link w:val="CharStyle30"/>
    <w:pPr>
      <w:widowControl w:val="0"/>
      <w:shd w:val="clear" w:color="auto" w:fill="FFFFFF"/>
      <w:outlineLvl w:val="3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32">
    <w:name w:val="Подпись к таблице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3"/>
    </w:rPr>
  </w:style>
  <w:style w:type="paragraph" w:customStyle="1" w:styleId="Style48">
    <w:name w:val="Подпись к таблице (3)"/>
    <w:basedOn w:val="Normal"/>
    <w:link w:val="CharStyle49"/>
    <w:pPr>
      <w:widowControl w:val="0"/>
      <w:shd w:val="clear" w:color="auto" w:fill="FFFFFF"/>
      <w:jc w:val="both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1"/>
    </w:rPr>
  </w:style>
  <w:style w:type="paragraph" w:styleId="TOC 3">
    <w:name w:val="toc 3"/>
    <w:basedOn w:val="Normal"/>
    <w:link w:val="CharStyle17"/>
    <w:autoRedefine/>
    <w:pPr>
      <w:widowControl w:val="0"/>
      <w:shd w:val="clear" w:color="auto" w:fill="FFFFFF"/>
      <w:jc w:val="both"/>
      <w:spacing w:before="480" w:after="24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styleId="TOC 4">
    <w:name w:val="toc 4"/>
    <w:basedOn w:val="Normal"/>
    <w:link w:val="CharStyle17"/>
    <w:autoRedefine/>
    <w:pPr>
      <w:widowControl w:val="0"/>
      <w:shd w:val="clear" w:color="auto" w:fill="FFFFFF"/>
      <w:jc w:val="both"/>
      <w:spacing w:before="480" w:after="24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123</dc:creator>
  <cp:keywords/>
</cp:coreProperties>
</file>